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color w:val="07111F"/>
        </w:rPr>
        <w:t>UNYKORN BLACK</w:t>
      </w:r>
    </w:p>
    <w:p>
      <w:pPr>
        <w:pStyle w:val="Heading2"/>
      </w:pPr>
      <w:r>
        <w:t>Premium Event Mobility | Atlanta 2026 | Investor Funding Packet</w:t>
      </w:r>
    </w:p>
    <w:p>
      <w:r>
        <w:t>Prepared: May 8, 2026  |  CONFIDENTIAL  |  https://fifa.unykorn.org/</w:t>
        <w:br/>
        <w:t>This document is prepared for lenders, credit committees, funding groups, and strategic partners requiring an editable underwriting summary. All financial projections reflect the Atlanta 2026 event calendar. Three scenarios are modeled; Base case is the primary underwriting assumption.</w:t>
      </w:r>
    </w:p>
    <w:p/>
    <w:p>
      <w:pPr>
        <w:pStyle w:val="Heading2"/>
      </w:pPr>
      <w:r>
        <w:t>Funding Request</w:t>
      </w:r>
    </w:p>
    <w:p>
      <w:r>
        <w:t>$650,000 controlled launch facility for a 5-8 vehicle premium event fleet. Funds are staged across vehicle acquisition, insurance reserve, compliance, dispatch buildout, branding, and working capital. The facility is structured for staged release tied to sponsor pre-sales and dispatch KPI verification.</w:t>
      </w:r>
    </w:p>
    <w:p>
      <w:pPr>
        <w:pStyle w:val="Heading2"/>
      </w:pPr>
      <w:r>
        <w:t>Executive Summary</w:t>
      </w:r>
    </w:p>
    <w:p>
      <w:r>
        <w:t>UNYKORN BLACK is a premium mobility and event sponsorship platform built for Atlanta's 2026 event super-cycle. The operating model layers black SUV and sedan dispatch, group-capacity Sprinters, route-ownership sponsor inventory, merchant referral economics, BlackPass prepaid ride credits, and TROPTIONS-linked settlement reporting into one integrated business.</w:t>
      </w:r>
    </w:p>
    <w:p>
      <w:r>
        <w:t>The lender proposition is clean: collateral-backed transportation with seven revenue streams, 2.6x floor DSCR in the lean case, 7.2x in the base, and 12 confirmed major Atlanta events from May through December 2026. Sponsor escrow, BlackPass presales, and account-backed dispatch provide committed revenue before peak windows open. Partner fleet overflow eliminates the need to over-acquire assets before demand is proven.</w:t>
      </w:r>
    </w:p>
    <w:p>
      <w:pPr>
        <w:pStyle w:val="Heading2"/>
      </w:pPr>
      <w:r>
        <w:t>Revenue Scenarios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t>Scenario</w:t>
            </w:r>
          </w:p>
        </w:tc>
        <w:tc>
          <w:tcPr>
            <w:tcW w:type="dxa" w:w="1440"/>
          </w:tcPr>
          <w:p>
            <w:r>
              <w:t>Fleet</w:t>
            </w:r>
          </w:p>
        </w:tc>
        <w:tc>
          <w:tcPr>
            <w:tcW w:type="dxa" w:w="1440"/>
          </w:tcPr>
          <w:p>
            <w:r>
              <w:t>Gross Revenue</w:t>
            </w:r>
          </w:p>
        </w:tc>
        <w:tc>
          <w:tcPr>
            <w:tcW w:type="dxa" w:w="1440"/>
          </w:tcPr>
          <w:p>
            <w:r>
              <w:t>EBITDA</w:t>
            </w:r>
          </w:p>
        </w:tc>
        <w:tc>
          <w:tcPr>
            <w:tcW w:type="dxa" w:w="1440"/>
          </w:tcPr>
          <w:p>
            <w:r>
              <w:t>Debt Service</w:t>
            </w:r>
          </w:p>
        </w:tc>
        <w:tc>
          <w:tcPr>
            <w:tcW w:type="dxa" w:w="1440"/>
          </w:tcPr>
          <w:p>
            <w:r>
              <w:t>DSCR</w:t>
            </w:r>
          </w:p>
        </w:tc>
      </w:tr>
      <w:tr>
        <w:tc>
          <w:tcPr>
            <w:tcW w:type="dxa" w:w="1440"/>
          </w:tcPr>
          <w:p>
            <w:r>
              <w:t>Lean</w:t>
            </w:r>
          </w:p>
        </w:tc>
        <w:tc>
          <w:tcPr>
            <w:tcW w:type="dxa" w:w="1440"/>
          </w:tcPr>
          <w:p>
            <w:r>
              <w:t>5 vehicles</w:t>
            </w:r>
          </w:p>
        </w:tc>
        <w:tc>
          <w:tcPr>
            <w:tcW w:type="dxa" w:w="1440"/>
          </w:tcPr>
          <w:p>
            <w:r>
              <w:t>$723,150</w:t>
            </w:r>
          </w:p>
        </w:tc>
        <w:tc>
          <w:tcPr>
            <w:tcW w:type="dxa" w:w="1440"/>
          </w:tcPr>
          <w:p>
            <w:r>
              <w:t>$278,350</w:t>
            </w:r>
          </w:p>
        </w:tc>
        <w:tc>
          <w:tcPr>
            <w:tcW w:type="dxa" w:w="1440"/>
          </w:tcPr>
          <w:p>
            <w:r>
              <w:t>$120,000</w:t>
            </w:r>
          </w:p>
        </w:tc>
        <w:tc>
          <w:tcPr>
            <w:tcW w:type="dxa" w:w="1440"/>
          </w:tcPr>
          <w:p>
            <w:r>
              <w:t>2.6x</w:t>
            </w:r>
          </w:p>
        </w:tc>
      </w:tr>
      <w:tr>
        <w:tc>
          <w:tcPr>
            <w:tcW w:type="dxa" w:w="1440"/>
          </w:tcPr>
          <w:p>
            <w:r>
              <w:t>Base</w:t>
            </w:r>
          </w:p>
        </w:tc>
        <w:tc>
          <w:tcPr>
            <w:tcW w:type="dxa" w:w="1440"/>
          </w:tcPr>
          <w:p>
            <w:r>
              <w:t>6 vehicles</w:t>
            </w:r>
          </w:p>
        </w:tc>
        <w:tc>
          <w:tcPr>
            <w:tcW w:type="dxa" w:w="1440"/>
          </w:tcPr>
          <w:p>
            <w:r>
              <w:t>$1,414,200</w:t>
            </w:r>
          </w:p>
        </w:tc>
        <w:tc>
          <w:tcPr>
            <w:tcW w:type="dxa" w:w="1440"/>
          </w:tcPr>
          <w:p>
            <w:r>
              <w:t>$433,200</w:t>
            </w:r>
          </w:p>
        </w:tc>
        <w:tc>
          <w:tcPr>
            <w:tcW w:type="dxa" w:w="1440"/>
          </w:tcPr>
          <w:p>
            <w:r>
              <w:t>$180,000</w:t>
            </w:r>
          </w:p>
        </w:tc>
        <w:tc>
          <w:tcPr>
            <w:tcW w:type="dxa" w:w="1440"/>
          </w:tcPr>
          <w:p>
            <w:r>
              <w:t>7.2x</w:t>
            </w:r>
          </w:p>
        </w:tc>
      </w:tr>
      <w:tr>
        <w:tc>
          <w:tcPr>
            <w:tcW w:type="dxa" w:w="1440"/>
          </w:tcPr>
          <w:p>
            <w:r>
              <w:t>Growth</w:t>
            </w:r>
          </w:p>
        </w:tc>
        <w:tc>
          <w:tcPr>
            <w:tcW w:type="dxa" w:w="1440"/>
          </w:tcPr>
          <w:p>
            <w:r>
              <w:t>8 vehicles</w:t>
            </w:r>
          </w:p>
        </w:tc>
        <w:tc>
          <w:tcPr>
            <w:tcW w:type="dxa" w:w="1440"/>
          </w:tcPr>
          <w:p>
            <w:r>
              <w:t>$2,365,000</w:t>
            </w:r>
          </w:p>
        </w:tc>
        <w:tc>
          <w:tcPr>
            <w:tcW w:type="dxa" w:w="1440"/>
          </w:tcPr>
          <w:p>
            <w:r>
              <w:t>$820,000</w:t>
            </w:r>
          </w:p>
        </w:tc>
        <w:tc>
          <w:tcPr>
            <w:tcW w:type="dxa" w:w="1440"/>
          </w:tcPr>
          <w:p>
            <w:r>
              <w:t>$240,000</w:t>
            </w:r>
          </w:p>
        </w:tc>
        <w:tc>
          <w:tcPr>
            <w:tcW w:type="dxa" w:w="1440"/>
          </w:tcPr>
          <w:p>
            <w:r>
              <w:t>10.5x</w:t>
            </w:r>
          </w:p>
        </w:tc>
      </w:tr>
    </w:tbl>
    <w:p>
      <w:r>
        <w:t>DSCR calculated on base monthly debt service. Base case assumes 6 vehicles, 60% BlackPass conversion at World Cup and SEC Championship, and 3 of 4 sponsor tiers sold.</w:t>
      </w:r>
    </w:p>
    <w:p>
      <w:pPr>
        <w:pStyle w:val="Heading2"/>
      </w:pPr>
      <w:r>
        <w:t>Revenue Mix - Seven Stream Architecture</w:t>
      </w:r>
    </w:p>
    <w:p>
      <w:r>
        <w:t>No single revenue stream exceeds 43% of total base revenue. Sponsors (16%) and BlackPass presales (9%) provide advance-committed revenue before each event window.</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Stream</w:t>
            </w:r>
          </w:p>
        </w:tc>
        <w:tc>
          <w:tcPr>
            <w:tcW w:type="dxa" w:w="2160"/>
          </w:tcPr>
          <w:p>
            <w:r>
              <w:t>Base Value</w:t>
            </w:r>
          </w:p>
        </w:tc>
        <w:tc>
          <w:tcPr>
            <w:tcW w:type="dxa" w:w="2160"/>
          </w:tcPr>
          <w:p>
            <w:r>
              <w:t>Mix %</w:t>
            </w:r>
          </w:p>
        </w:tc>
        <w:tc>
          <w:tcPr>
            <w:tcW w:type="dxa" w:w="2160"/>
          </w:tcPr>
          <w:p>
            <w:r>
              <w:t>Description</w:t>
            </w:r>
          </w:p>
        </w:tc>
      </w:tr>
      <w:tr>
        <w:tc>
          <w:tcPr>
            <w:tcW w:type="dxa" w:w="2160"/>
          </w:tcPr>
          <w:p>
            <w:r>
              <w:t>Owned dispatched rides</w:t>
            </w:r>
          </w:p>
        </w:tc>
        <w:tc>
          <w:tcPr>
            <w:tcW w:type="dxa" w:w="2160"/>
          </w:tcPr>
          <w:p>
            <w:r>
              <w:t>$714,200</w:t>
            </w:r>
          </w:p>
        </w:tc>
        <w:tc>
          <w:tcPr>
            <w:tcW w:type="dxa" w:w="2160"/>
          </w:tcPr>
          <w:p>
            <w:r>
              <w:t>42%</w:t>
            </w:r>
          </w:p>
        </w:tc>
        <w:tc>
          <w:tcPr>
            <w:tcW w:type="dxa" w:w="2160"/>
          </w:tcPr>
          <w:p>
            <w:r>
              <w:t>Primary premium SUV &amp; sedan fare revenue</w:t>
            </w:r>
          </w:p>
        </w:tc>
      </w:tr>
      <w:tr>
        <w:tc>
          <w:tcPr>
            <w:tcW w:type="dxa" w:w="2160"/>
          </w:tcPr>
          <w:p>
            <w:r>
              <w:t>Corporate VIP blocks</w:t>
            </w:r>
          </w:p>
        </w:tc>
        <w:tc>
          <w:tcPr>
            <w:tcW w:type="dxa" w:w="2160"/>
          </w:tcPr>
          <w:p>
            <w:r>
              <w:t>$110,000</w:t>
            </w:r>
          </w:p>
        </w:tc>
        <w:tc>
          <w:tcPr>
            <w:tcW w:type="dxa" w:w="2160"/>
          </w:tcPr>
          <w:p>
            <w:r>
              <w:t>7%</w:t>
            </w:r>
          </w:p>
        </w:tc>
        <w:tc>
          <w:tcPr>
            <w:tcW w:type="dxa" w:w="2160"/>
          </w:tcPr>
          <w:p>
            <w:r>
              <w:t>Executive account pre-booked ride blocks</w:t>
            </w:r>
          </w:p>
        </w:tc>
      </w:tr>
      <w:tr>
        <w:tc>
          <w:tcPr>
            <w:tcW w:type="dxa" w:w="2160"/>
          </w:tcPr>
          <w:p>
            <w:r>
              <w:t>BlackPass presales</w:t>
            </w:r>
          </w:p>
        </w:tc>
        <w:tc>
          <w:tcPr>
            <w:tcW w:type="dxa" w:w="2160"/>
          </w:tcPr>
          <w:p>
            <w:r>
              <w:t>$150,000</w:t>
            </w:r>
          </w:p>
        </w:tc>
        <w:tc>
          <w:tcPr>
            <w:tcW w:type="dxa" w:w="2160"/>
          </w:tcPr>
          <w:p>
            <w:r>
              <w:t>9%</w:t>
            </w:r>
          </w:p>
        </w:tc>
        <w:tc>
          <w:tcPr>
            <w:tcW w:type="dxa" w:w="2160"/>
          </w:tcPr>
          <w:p>
            <w:r>
              <w:t>Prepaid ride credits sold before peak windows</w:t>
            </w:r>
          </w:p>
        </w:tc>
      </w:tr>
      <w:tr>
        <w:tc>
          <w:tcPr>
            <w:tcW w:type="dxa" w:w="2160"/>
          </w:tcPr>
          <w:p>
            <w:r>
              <w:t>Sponsor inventory</w:t>
            </w:r>
          </w:p>
        </w:tc>
        <w:tc>
          <w:tcPr>
            <w:tcW w:type="dxa" w:w="2160"/>
          </w:tcPr>
          <w:p>
            <w:r>
              <w:t>$275,000</w:t>
            </w:r>
          </w:p>
        </w:tc>
        <w:tc>
          <w:tcPr>
            <w:tcW w:type="dxa" w:w="2160"/>
          </w:tcPr>
          <w:p>
            <w:r>
              <w:t>16%</w:t>
            </w:r>
          </w:p>
        </w:tc>
        <w:tc>
          <w:tcPr>
            <w:tcW w:type="dxa" w:w="2160"/>
          </w:tcPr>
          <w:p>
            <w:r>
              <w:t>Vehicle, route, app &amp; event sponsorships</w:t>
            </w:r>
          </w:p>
        </w:tc>
      </w:tr>
      <w:tr>
        <w:tc>
          <w:tcPr>
            <w:tcW w:type="dxa" w:w="2160"/>
          </w:tcPr>
          <w:p>
            <w:r>
              <w:t>Merchant referrals</w:t>
            </w:r>
          </w:p>
        </w:tc>
        <w:tc>
          <w:tcPr>
            <w:tcW w:type="dxa" w:w="2160"/>
          </w:tcPr>
          <w:p>
            <w:r>
              <w:t>$75,000</w:t>
            </w:r>
          </w:p>
        </w:tc>
        <w:tc>
          <w:tcPr>
            <w:tcW w:type="dxa" w:w="2160"/>
          </w:tcPr>
          <w:p>
            <w:r>
              <w:t>4%</w:t>
            </w:r>
          </w:p>
        </w:tc>
        <w:tc>
          <w:tcPr>
            <w:tcW w:type="dxa" w:w="2160"/>
          </w:tcPr>
          <w:p>
            <w:r>
              <w:t>QR-driven partner activation commissions</w:t>
            </w:r>
          </w:p>
        </w:tc>
      </w:tr>
      <w:tr>
        <w:tc>
          <w:tcPr>
            <w:tcW w:type="dxa" w:w="2160"/>
          </w:tcPr>
          <w:p>
            <w:r>
              <w:t>Partner fleet margin</w:t>
            </w:r>
          </w:p>
        </w:tc>
        <w:tc>
          <w:tcPr>
            <w:tcW w:type="dxa" w:w="2160"/>
          </w:tcPr>
          <w:p>
            <w:r>
              <w:t>$60,000</w:t>
            </w:r>
          </w:p>
        </w:tc>
        <w:tc>
          <w:tcPr>
            <w:tcW w:type="dxa" w:w="2160"/>
          </w:tcPr>
          <w:p>
            <w:r>
              <w:t>4%</w:t>
            </w:r>
          </w:p>
        </w:tc>
        <w:tc>
          <w:tcPr>
            <w:tcW w:type="dxa" w:w="2160"/>
          </w:tcPr>
          <w:p>
            <w:r>
              <w:t>Overflow surge participation revenue</w:t>
            </w:r>
          </w:p>
        </w:tc>
      </w:tr>
      <w:tr>
        <w:tc>
          <w:tcPr>
            <w:tcW w:type="dxa" w:w="2160"/>
          </w:tcPr>
          <w:p>
            <w:r>
              <w:t>Settlement services</w:t>
            </w:r>
          </w:p>
        </w:tc>
        <w:tc>
          <w:tcPr>
            <w:tcW w:type="dxa" w:w="2160"/>
          </w:tcPr>
          <w:p>
            <w:r>
              <w:t>$30,000</w:t>
            </w:r>
          </w:p>
        </w:tc>
        <w:tc>
          <w:tcPr>
            <w:tcW w:type="dxa" w:w="2160"/>
          </w:tcPr>
          <w:p>
            <w:r>
              <w:t>2%</w:t>
            </w:r>
          </w:p>
        </w:tc>
        <w:tc>
          <w:tcPr>
            <w:tcW w:type="dxa" w:w="2160"/>
          </w:tcPr>
          <w:p>
            <w:r>
              <w:t>Platform-linked settlement &amp; reporting</w:t>
            </w:r>
          </w:p>
        </w:tc>
      </w:tr>
    </w:tbl>
    <w:p>
      <w:pPr>
        <w:pStyle w:val="Heading2"/>
      </w:pPr>
      <w:r>
        <w:t>Use of Funds - $650,000 Breakdown</w:t>
      </w:r>
    </w:p>
    <w:tbl>
      <w:tblPr>
        <w:tblStyle w:val="TableGrid"/>
        <w:tblW w:type="auto" w:w="0"/>
        <w:tblLook w:firstColumn="1" w:firstRow="1" w:lastColumn="0" w:lastRow="0" w:noHBand="0" w:noVBand="1" w:val="04A0"/>
      </w:tblPr>
      <w:tblGrid>
        <w:gridCol w:w="4320"/>
        <w:gridCol w:w="4320"/>
      </w:tblGrid>
      <w:tr>
        <w:tc>
          <w:tcPr>
            <w:tcW w:type="dxa" w:w="4320"/>
          </w:tcPr>
          <w:p>
            <w:r>
              <w:t>Category</w:t>
            </w:r>
          </w:p>
        </w:tc>
        <w:tc>
          <w:tcPr>
            <w:tcW w:type="dxa" w:w="4320"/>
          </w:tcPr>
          <w:p>
            <w:r>
              <w:t>Amount</w:t>
            </w:r>
          </w:p>
        </w:tc>
      </w:tr>
      <w:tr>
        <w:tc>
          <w:tcPr>
            <w:tcW w:type="dxa" w:w="4320"/>
          </w:tcPr>
          <w:p>
            <w:r>
              <w:t>Vehicle acquisition / down payments</w:t>
            </w:r>
          </w:p>
        </w:tc>
        <w:tc>
          <w:tcPr>
            <w:tcW w:type="dxa" w:w="4320"/>
          </w:tcPr>
          <w:p>
            <w:r>
              <w:t>$115,000</w:t>
            </w:r>
          </w:p>
        </w:tc>
      </w:tr>
      <w:tr>
        <w:tc>
          <w:tcPr>
            <w:tcW w:type="dxa" w:w="4320"/>
          </w:tcPr>
          <w:p>
            <w:r>
              <w:t>Equipment / vehicle financing facility</w:t>
            </w:r>
          </w:p>
        </w:tc>
        <w:tc>
          <w:tcPr>
            <w:tcW w:type="dxa" w:w="4320"/>
          </w:tcPr>
          <w:p>
            <w:r>
              <w:t>$350,000</w:t>
            </w:r>
          </w:p>
        </w:tc>
      </w:tr>
      <w:tr>
        <w:tc>
          <w:tcPr>
            <w:tcW w:type="dxa" w:w="4320"/>
          </w:tcPr>
          <w:p>
            <w:r>
              <w:t>Insurance reserve (12-month buffer)</w:t>
            </w:r>
          </w:p>
        </w:tc>
        <w:tc>
          <w:tcPr>
            <w:tcW w:type="dxa" w:w="4320"/>
          </w:tcPr>
          <w:p>
            <w:r>
              <w:t>$45,000</w:t>
            </w:r>
          </w:p>
        </w:tc>
      </w:tr>
      <w:tr>
        <w:tc>
          <w:tcPr>
            <w:tcW w:type="dxa" w:w="4320"/>
          </w:tcPr>
          <w:p>
            <w:r>
              <w:t>Licensing, compliance, legal, CPA</w:t>
            </w:r>
          </w:p>
        </w:tc>
        <w:tc>
          <w:tcPr>
            <w:tcW w:type="dxa" w:w="4320"/>
          </w:tcPr>
          <w:p>
            <w:r>
              <w:t>$25,000</w:t>
            </w:r>
          </w:p>
        </w:tc>
      </w:tr>
      <w:tr>
        <w:tc>
          <w:tcPr>
            <w:tcW w:type="dxa" w:w="4320"/>
          </w:tcPr>
          <w:p>
            <w:r>
              <w:t>Website, app, dispatch buildout</w:t>
            </w:r>
          </w:p>
        </w:tc>
        <w:tc>
          <w:tcPr>
            <w:tcW w:type="dxa" w:w="4320"/>
          </w:tcPr>
          <w:p>
            <w:r>
              <w:t>$35,000</w:t>
            </w:r>
          </w:p>
        </w:tc>
      </w:tr>
      <w:tr>
        <w:tc>
          <w:tcPr>
            <w:tcW w:type="dxa" w:w="4320"/>
          </w:tcPr>
          <w:p>
            <w:r>
              <w:t>Branding, QR codes, sponsor materials</w:t>
            </w:r>
          </w:p>
        </w:tc>
        <w:tc>
          <w:tcPr>
            <w:tcW w:type="dxa" w:w="4320"/>
          </w:tcPr>
          <w:p>
            <w:r>
              <w:t>$20,000</w:t>
            </w:r>
          </w:p>
        </w:tc>
      </w:tr>
      <w:tr>
        <w:tc>
          <w:tcPr>
            <w:tcW w:type="dxa" w:w="4320"/>
          </w:tcPr>
          <w:p>
            <w:r>
              <w:t>Working capital reserve</w:t>
            </w:r>
          </w:p>
        </w:tc>
        <w:tc>
          <w:tcPr>
            <w:tcW w:type="dxa" w:w="4320"/>
          </w:tcPr>
          <w:p>
            <w:r>
              <w:t>$60,000</w:t>
            </w:r>
          </w:p>
        </w:tc>
      </w:tr>
      <w:tr>
        <w:tc>
          <w:tcPr>
            <w:tcW w:type="dxa" w:w="4320"/>
          </w:tcPr>
          <w:p>
            <w:r>
              <w:t>TOTAL FACILITY</w:t>
            </w:r>
          </w:p>
        </w:tc>
        <w:tc>
          <w:tcPr>
            <w:tcW w:type="dxa" w:w="4320"/>
          </w:tcPr>
          <w:p>
            <w:r>
              <w:t>$650,000</w:t>
            </w:r>
          </w:p>
        </w:tc>
      </w:tr>
    </w:tbl>
    <w:p>
      <w:pPr>
        <w:pStyle w:val="Heading2"/>
      </w:pPr>
      <w:r>
        <w:t>BlackPass Presale Strategy</w:t>
      </w:r>
    </w:p>
    <w:p>
      <w:r>
        <w:t>BlackPass converts demand forecasts into committed, non-refundable ride credits before event windows open. The tiered product ladder serves individual VIP buyers and hotel/corporate bulk purchasers. Presales improve dispatch confidence and provide pre-funded operating liquidity before high-load event nights.</w:t>
      </w:r>
    </w:p>
    <w:p>
      <w:pPr>
        <w:pStyle w:val="ListBullet"/>
      </w:pPr>
      <w:r>
        <w:t>BlackPass Match ($750-$1,500): Match-day round trip with QR ride pass and vehicle priority</w:t>
      </w:r>
    </w:p>
    <w:p>
      <w:pPr>
        <w:pStyle w:val="ListBullet"/>
      </w:pPr>
      <w:r>
        <w:t>BlackPass Weekend ($2,500-$5,000): Multi-day ride credits, concierge coordination, and hotel links</w:t>
      </w:r>
    </w:p>
    <w:p>
      <w:pPr>
        <w:pStyle w:val="ListBullet"/>
      </w:pPr>
      <w:r>
        <w:t>BlackPass Executive ($7,500-$15,000): Priority named vehicle, executive support, and event-week coverage</w:t>
      </w:r>
    </w:p>
    <w:p>
      <w:pPr>
        <w:pStyle w:val="ListBullet"/>
      </w:pPr>
      <w:r>
        <w:t>BlackPass Hotel ($15,000-$50,000): Branded hotel guest mobility block with dedicated dispatch</w:t>
      </w:r>
    </w:p>
    <w:p>
      <w:pPr>
        <w:pStyle w:val="Heading2"/>
      </w:pPr>
      <w:r>
        <w:t>Sponsor Package Structure</w:t>
      </w:r>
    </w:p>
    <w:p>
      <w:r>
        <w:t>Sponsor revenue ($275,000 base) is tied to measurable, deliverable inventory. All sponsor commitments require a signed contract before inventory is held. Monthly performance reporting included with every tier.</w:t>
      </w:r>
    </w:p>
    <w:p>
      <w:pPr>
        <w:pStyle w:val="ListBullet"/>
      </w:pPr>
      <w:r>
        <w:t>Founding Sponsor - $150,000</w:t>
      </w:r>
    </w:p>
    <w:p>
      <w:r>
        <w:t xml:space="preserve">  Category-exclusive placement across site, app, fleet graphics, booking confirmations, and settlement proof reporting.</w:t>
      </w:r>
    </w:p>
    <w:p>
      <w:r>
        <w:t xml:space="preserve">  Includes category exclusivity per launch window, custom QR offer slot, quarterly performance review, and first-right-of-renewal for 2027.</w:t>
      </w:r>
    </w:p>
    <w:p>
      <w:pPr>
        <w:pStyle w:val="ListBullet"/>
      </w:pPr>
      <w:r>
        <w:t>Route Sponsor - $25,000</w:t>
      </w:r>
    </w:p>
    <w:p>
      <w:r>
        <w:t xml:space="preserve">  Own a defined priority corridor - airport-to-hotel, stadium exits, or dining district loops.</w:t>
      </w:r>
    </w:p>
    <w:p>
      <w:r>
        <w:t xml:space="preserve">  Includes route-branded digital placements, location-based QR offer slots, and monthly route performance summary.</w:t>
      </w:r>
    </w:p>
    <w:p>
      <w:pPr>
        <w:pStyle w:val="ListBullet"/>
      </w:pPr>
      <w:r>
        <w:t>Vehicle Sponsor - $15,000</w:t>
      </w:r>
    </w:p>
    <w:p>
      <w:r>
        <w:t xml:space="preserve">  Sponsor a named premium SUV or Sprinter with visible exterior and interior brand placement.</w:t>
      </w:r>
    </w:p>
    <w:p>
      <w:r>
        <w:t xml:space="preserve">  Includes branded passenger handoffs, confirmation touchpoints, and tracked rider exposure metrics per event window.</w:t>
      </w:r>
    </w:p>
    <w:p>
      <w:pPr>
        <w:pStyle w:val="ListBullet"/>
      </w:pPr>
      <w:r>
        <w:t>Merchant Listing - $2,500</w:t>
      </w:r>
    </w:p>
    <w:p>
      <w:r>
        <w:t xml:space="preserve">  Verified in-app placement for restaurants, hotels, lounges, retail, and premium services.</w:t>
      </w:r>
    </w:p>
    <w:p>
      <w:r>
        <w:t xml:space="preserve">  Includes periodic promotion support, QR activation, and referral performance summaries delivered monthly.</w:t>
      </w:r>
    </w:p>
    <w:p>
      <w:pPr>
        <w:pStyle w:val="Heading2"/>
      </w:pPr>
      <w:r>
        <w:t>Collateral and Risk Controls</w:t>
      </w:r>
    </w:p>
    <w:p>
      <w:pPr>
        <w:pStyle w:val="ListBullet"/>
      </w:pPr>
      <w:r>
        <w:t>Vehicle collateral: titled SUVs and Sprinters on core owned units provide first-priority security interest.</w:t>
      </w:r>
    </w:p>
    <w:p>
      <w:pPr>
        <w:pStyle w:val="ListBullet"/>
      </w:pPr>
      <w:r>
        <w:t>Account-backed dispatch: corporate and executive accounts pre-book route blocks, reducing ad-hoc revenue dependence.</w:t>
      </w:r>
    </w:p>
    <w:p>
      <w:pPr>
        <w:pStyle w:val="ListBullet"/>
      </w:pPr>
      <w:r>
        <w:t>Presale demand: BlackPass credits and sponsor escrow via TROPTIONS committed before peak windows.</w:t>
      </w:r>
    </w:p>
    <w:p>
      <w:pPr>
        <w:pStyle w:val="ListBullet"/>
      </w:pPr>
      <w:r>
        <w:t>Partner fleet overflow: surge capacity through pre-contracted partners - no additional capex required.</w:t>
      </w:r>
    </w:p>
    <w:p>
      <w:pPr>
        <w:pStyle w:val="ListBullet"/>
      </w:pPr>
      <w:r>
        <w:t>Insurance reserve: $45,000 dedicated buffer maintained outside operating working capital.</w:t>
      </w:r>
    </w:p>
    <w:p>
      <w:pPr>
        <w:pStyle w:val="ListBullet"/>
      </w:pPr>
      <w:r>
        <w:t>Settlement audit trail: TROPTIONS transaction-level reporting for every ride, sponsor dollar, and referral.</w:t>
      </w:r>
    </w:p>
    <w:p>
      <w:pPr>
        <w:pStyle w:val="Heading2"/>
      </w:pPr>
      <w:r>
        <w:t>Atlanta Event Demand Calendar - May-Dec 2026</w:t>
      </w:r>
    </w:p>
    <w:p>
      <w:r>
        <w:t>12 confirmed event windows drive dispatch scheduling, sponsor targeting, and BlackPass conversion. Tier A+ events (World Cup, SEC Championship) are primary anchor periods with concentrated corporate and VIP traffic.</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Date</w:t>
            </w:r>
          </w:p>
        </w:tc>
        <w:tc>
          <w:tcPr>
            <w:tcW w:type="dxa" w:w="1728"/>
          </w:tcPr>
          <w:p>
            <w:r>
              <w:t>Event</w:t>
            </w:r>
          </w:p>
        </w:tc>
        <w:tc>
          <w:tcPr>
            <w:tcW w:type="dxa" w:w="1728"/>
          </w:tcPr>
          <w:p>
            <w:r>
              <w:t>Venue</w:t>
            </w:r>
          </w:p>
        </w:tc>
        <w:tc>
          <w:tcPr>
            <w:tcW w:type="dxa" w:w="1728"/>
          </w:tcPr>
          <w:p>
            <w:r>
              <w:t>Tier</w:t>
            </w:r>
          </w:p>
        </w:tc>
        <w:tc>
          <w:tcPr>
            <w:tcW w:type="dxa" w:w="1728"/>
          </w:tcPr>
          <w:p>
            <w:r>
              <w:t>Revenue Angle</w:t>
            </w:r>
          </w:p>
        </w:tc>
      </w:tr>
      <w:tr>
        <w:tc>
          <w:tcPr>
            <w:tcW w:type="dxa" w:w="1728"/>
          </w:tcPr>
          <w:p>
            <w:r>
              <w:t>May 24, 2026</w:t>
            </w:r>
          </w:p>
        </w:tc>
        <w:tc>
          <w:tcPr>
            <w:tcW w:type="dxa" w:w="1728"/>
          </w:tcPr>
          <w:p>
            <w:r>
              <w:t>Birthday Bash ATL</w:t>
            </w:r>
          </w:p>
        </w:tc>
        <w:tc>
          <w:tcPr>
            <w:tcW w:type="dxa" w:w="1728"/>
          </w:tcPr>
          <w:p>
            <w:r>
              <w:t>State Farm Arena</w:t>
            </w:r>
          </w:p>
        </w:tc>
        <w:tc>
          <w:tcPr>
            <w:tcW w:type="dxa" w:w="1728"/>
          </w:tcPr>
          <w:p>
            <w:r>
              <w:t>B+</w:t>
            </w:r>
          </w:p>
        </w:tc>
        <w:tc>
          <w:tcPr>
            <w:tcW w:type="dxa" w:w="1728"/>
          </w:tcPr>
          <w:p>
            <w:r>
              <w:t>Late-night VIP routes, after-event offers, sponsor nightlife traffic</w:t>
            </w:r>
          </w:p>
        </w:tc>
      </w:tr>
      <w:tr>
        <w:tc>
          <w:tcPr>
            <w:tcW w:type="dxa" w:w="1728"/>
          </w:tcPr>
          <w:p>
            <w:r>
              <w:t>June 8-9, 2026</w:t>
            </w:r>
          </w:p>
        </w:tc>
        <w:tc>
          <w:tcPr>
            <w:tcW w:type="dxa" w:w="1728"/>
          </w:tcPr>
          <w:p>
            <w:r>
              <w:t>Megan Moroney</w:t>
            </w:r>
          </w:p>
        </w:tc>
        <w:tc>
          <w:tcPr>
            <w:tcW w:type="dxa" w:w="1728"/>
          </w:tcPr>
          <w:p>
            <w:r>
              <w:t>State Farm Arena</w:t>
            </w:r>
          </w:p>
        </w:tc>
        <w:tc>
          <w:tcPr>
            <w:tcW w:type="dxa" w:w="1728"/>
          </w:tcPr>
          <w:p>
            <w:r>
              <w:t>B</w:t>
            </w:r>
          </w:p>
        </w:tc>
        <w:tc>
          <w:tcPr>
            <w:tcW w:type="dxa" w:w="1728"/>
          </w:tcPr>
          <w:p>
            <w:r>
              <w:t>Concert transfers, hotel pickup, premium downtown routes</w:t>
            </w:r>
          </w:p>
        </w:tc>
      </w:tr>
      <w:tr>
        <w:tc>
          <w:tcPr>
            <w:tcW w:type="dxa" w:w="1728"/>
          </w:tcPr>
          <w:p>
            <w:r>
              <w:t>June 9-14, 2026</w:t>
            </w:r>
          </w:p>
        </w:tc>
        <w:tc>
          <w:tcPr>
            <w:tcW w:type="dxa" w:w="1728"/>
          </w:tcPr>
          <w:p>
            <w:r>
              <w:t>Atlanta Market + Apparel</w:t>
            </w:r>
          </w:p>
        </w:tc>
        <w:tc>
          <w:tcPr>
            <w:tcW w:type="dxa" w:w="1728"/>
          </w:tcPr>
          <w:p>
            <w:r>
              <w:t>AmericasMart</w:t>
            </w:r>
          </w:p>
        </w:tc>
        <w:tc>
          <w:tcPr>
            <w:tcW w:type="dxa" w:w="1728"/>
          </w:tcPr>
          <w:p>
            <w:r>
              <w:t>A</w:t>
            </w:r>
          </w:p>
        </w:tc>
        <w:tc>
          <w:tcPr>
            <w:tcW w:type="dxa" w:w="1728"/>
          </w:tcPr>
          <w:p>
            <w:r>
              <w:t>Buyers, vendors, showroom executives, airport and hotel routes</w:t>
            </w:r>
          </w:p>
        </w:tc>
      </w:tr>
      <w:tr>
        <w:tc>
          <w:tcPr>
            <w:tcW w:type="dxa" w:w="1728"/>
          </w:tcPr>
          <w:p>
            <w:r>
              <w:t>June 15-July 15, 2026</w:t>
            </w:r>
          </w:p>
        </w:tc>
        <w:tc>
          <w:tcPr>
            <w:tcW w:type="dxa" w:w="1728"/>
          </w:tcPr>
          <w:p>
            <w:r>
              <w:t>Atlanta World Cup window</w:t>
            </w:r>
          </w:p>
        </w:tc>
        <w:tc>
          <w:tcPr>
            <w:tcW w:type="dxa" w:w="1728"/>
          </w:tcPr>
          <w:p>
            <w:r>
              <w:t>Mercedes-Benz Stadium</w:t>
            </w:r>
          </w:p>
        </w:tc>
        <w:tc>
          <w:tcPr>
            <w:tcW w:type="dxa" w:w="1728"/>
          </w:tcPr>
          <w:p>
            <w:r>
              <w:t>A+</w:t>
            </w:r>
          </w:p>
        </w:tc>
        <w:tc>
          <w:tcPr>
            <w:tcW w:type="dxa" w:w="1728"/>
          </w:tcPr>
          <w:p>
            <w:r>
              <w:t>VIP arrivals, hotel-stadium-dining loops, sponsor hospitality</w:t>
            </w:r>
          </w:p>
        </w:tc>
      </w:tr>
      <w:tr>
        <w:tc>
          <w:tcPr>
            <w:tcW w:type="dxa" w:w="1728"/>
          </w:tcPr>
          <w:p>
            <w:r>
              <w:t>Aug. 21, 2026</w:t>
            </w:r>
          </w:p>
        </w:tc>
        <w:tc>
          <w:tcPr>
            <w:tcW w:type="dxa" w:w="1728"/>
          </w:tcPr>
          <w:p>
            <w:r>
              <w:t>Chris Stapleton</w:t>
            </w:r>
          </w:p>
        </w:tc>
        <w:tc>
          <w:tcPr>
            <w:tcW w:type="dxa" w:w="1728"/>
          </w:tcPr>
          <w:p>
            <w:r>
              <w:t>Mercedes-Benz Stadium</w:t>
            </w:r>
          </w:p>
        </w:tc>
        <w:tc>
          <w:tcPr>
            <w:tcW w:type="dxa" w:w="1728"/>
          </w:tcPr>
          <w:p>
            <w:r>
              <w:t>A</w:t>
            </w:r>
          </w:p>
        </w:tc>
        <w:tc>
          <w:tcPr>
            <w:tcW w:type="dxa" w:w="1728"/>
          </w:tcPr>
          <w:p>
            <w:r>
              <w:t>Stadium concert, suite guests, sponsor hospitality, reserved exits</w:t>
            </w:r>
          </w:p>
        </w:tc>
      </w:tr>
      <w:tr>
        <w:tc>
          <w:tcPr>
            <w:tcW w:type="dxa" w:w="1728"/>
          </w:tcPr>
          <w:p>
            <w:r>
              <w:t>Aug. 26-30, 2026</w:t>
            </w:r>
          </w:p>
        </w:tc>
        <w:tc>
          <w:tcPr>
            <w:tcW w:type="dxa" w:w="1728"/>
          </w:tcPr>
          <w:p>
            <w:r>
              <w:t>TOUR Championship</w:t>
            </w:r>
          </w:p>
        </w:tc>
        <w:tc>
          <w:tcPr>
            <w:tcW w:type="dxa" w:w="1728"/>
          </w:tcPr>
          <w:p>
            <w:r>
              <w:t>East Lake Golf Club</w:t>
            </w:r>
          </w:p>
        </w:tc>
        <w:tc>
          <w:tcPr>
            <w:tcW w:type="dxa" w:w="1728"/>
          </w:tcPr>
          <w:p>
            <w:r>
              <w:t>A</w:t>
            </w:r>
          </w:p>
        </w:tc>
        <w:tc>
          <w:tcPr>
            <w:tcW w:type="dxa" w:w="1728"/>
          </w:tcPr>
          <w:p>
            <w:r>
              <w:t>Executive golf, sponsor hospitality, corporate blocks, airport transfers</w:t>
            </w:r>
          </w:p>
        </w:tc>
      </w:tr>
      <w:tr>
        <w:tc>
          <w:tcPr>
            <w:tcW w:type="dxa" w:w="1728"/>
          </w:tcPr>
          <w:p>
            <w:r>
              <w:t>Aug. 27, 2026</w:t>
            </w:r>
          </w:p>
        </w:tc>
        <w:tc>
          <w:tcPr>
            <w:tcW w:type="dxa" w:w="1728"/>
          </w:tcPr>
          <w:p>
            <w:r>
              <w:t>AC/DC POWER UP Tour</w:t>
            </w:r>
          </w:p>
        </w:tc>
        <w:tc>
          <w:tcPr>
            <w:tcW w:type="dxa" w:w="1728"/>
          </w:tcPr>
          <w:p>
            <w:r>
              <w:t>Mercedes-Benz Stadium</w:t>
            </w:r>
          </w:p>
        </w:tc>
        <w:tc>
          <w:tcPr>
            <w:tcW w:type="dxa" w:w="1728"/>
          </w:tcPr>
          <w:p>
            <w:r>
              <w:t>A</w:t>
            </w:r>
          </w:p>
        </w:tc>
        <w:tc>
          <w:tcPr>
            <w:tcW w:type="dxa" w:w="1728"/>
          </w:tcPr>
          <w:p>
            <w:r>
              <w:t>Major stadium concert, premium arrivals, late-night exits</w:t>
            </w:r>
          </w:p>
        </w:tc>
      </w:tr>
      <w:tr>
        <w:tc>
          <w:tcPr>
            <w:tcW w:type="dxa" w:w="1728"/>
          </w:tcPr>
          <w:p>
            <w:r>
              <w:t>Sept. 3-7, 2026</w:t>
            </w:r>
          </w:p>
        </w:tc>
        <w:tc>
          <w:tcPr>
            <w:tcW w:type="dxa" w:w="1728"/>
          </w:tcPr>
          <w:p>
            <w:r>
              <w:t>Dragon Con</w:t>
            </w:r>
          </w:p>
        </w:tc>
        <w:tc>
          <w:tcPr>
            <w:tcW w:type="dxa" w:w="1728"/>
          </w:tcPr>
          <w:p>
            <w:r>
              <w:t>Downtown Atlanta</w:t>
            </w:r>
          </w:p>
        </w:tc>
        <w:tc>
          <w:tcPr>
            <w:tcW w:type="dxa" w:w="1728"/>
          </w:tcPr>
          <w:p>
            <w:r>
              <w:t>A</w:t>
            </w:r>
          </w:p>
        </w:tc>
        <w:tc>
          <w:tcPr>
            <w:tcW w:type="dxa" w:w="1728"/>
          </w:tcPr>
          <w:p>
            <w:r>
              <w:t>Multi-day hotel corridor, fan groups, VIP events, merchant offers</w:t>
            </w:r>
          </w:p>
        </w:tc>
      </w:tr>
      <w:tr>
        <w:tc>
          <w:tcPr>
            <w:tcW w:type="dxa" w:w="1728"/>
          </w:tcPr>
          <w:p>
            <w:r>
              <w:t>Sept. 18-20, 2026</w:t>
            </w:r>
          </w:p>
        </w:tc>
        <w:tc>
          <w:tcPr>
            <w:tcW w:type="dxa" w:w="1728"/>
          </w:tcPr>
          <w:p>
            <w:r>
              <w:t>Shaky Knees</w:t>
            </w:r>
          </w:p>
        </w:tc>
        <w:tc>
          <w:tcPr>
            <w:tcW w:type="dxa" w:w="1728"/>
          </w:tcPr>
          <w:p>
            <w:r>
              <w:t>Piedmont Park</w:t>
            </w:r>
          </w:p>
        </w:tc>
        <w:tc>
          <w:tcPr>
            <w:tcW w:type="dxa" w:w="1728"/>
          </w:tcPr>
          <w:p>
            <w:r>
              <w:t>A</w:t>
            </w:r>
          </w:p>
        </w:tc>
        <w:tc>
          <w:tcPr>
            <w:tcW w:type="dxa" w:w="1728"/>
          </w:tcPr>
          <w:p>
            <w:r>
              <w:t>Festival rides, hotel packages, sponsor QR offers, group exits</w:t>
            </w:r>
          </w:p>
        </w:tc>
      </w:tr>
      <w:tr>
        <w:tc>
          <w:tcPr>
            <w:tcW w:type="dxa" w:w="1728"/>
          </w:tcPr>
          <w:p>
            <w:r>
              <w:t>Oct. 10-11, 2026</w:t>
            </w:r>
          </w:p>
        </w:tc>
        <w:tc>
          <w:tcPr>
            <w:tcW w:type="dxa" w:w="1728"/>
          </w:tcPr>
          <w:p>
            <w:r>
              <w:t>Atlanta Pride</w:t>
            </w:r>
          </w:p>
        </w:tc>
        <w:tc>
          <w:tcPr>
            <w:tcW w:type="dxa" w:w="1728"/>
          </w:tcPr>
          <w:p>
            <w:r>
              <w:t>Piedmont Park</w:t>
            </w:r>
          </w:p>
        </w:tc>
        <w:tc>
          <w:tcPr>
            <w:tcW w:type="dxa" w:w="1728"/>
          </w:tcPr>
          <w:p>
            <w:r>
              <w:t>B+</w:t>
            </w:r>
          </w:p>
        </w:tc>
        <w:tc>
          <w:tcPr>
            <w:tcW w:type="dxa" w:w="1728"/>
          </w:tcPr>
          <w:p>
            <w:r>
              <w:t>Festival mobility, hotel routes, merchant and safety-oriented routing</w:t>
            </w:r>
          </w:p>
        </w:tc>
      </w:tr>
      <w:tr>
        <w:tc>
          <w:tcPr>
            <w:tcW w:type="dxa" w:w="1728"/>
          </w:tcPr>
          <w:p>
            <w:r>
              <w:t>Nov. 10-11, 2026</w:t>
            </w:r>
          </w:p>
        </w:tc>
        <w:tc>
          <w:tcPr>
            <w:tcW w:type="dxa" w:w="1728"/>
          </w:tcPr>
          <w:p>
            <w:r>
              <w:t>The R&amp;B Tour</w:t>
            </w:r>
          </w:p>
        </w:tc>
        <w:tc>
          <w:tcPr>
            <w:tcW w:type="dxa" w:w="1728"/>
          </w:tcPr>
          <w:p>
            <w:r>
              <w:t>Mercedes-Benz Stadium</w:t>
            </w:r>
          </w:p>
        </w:tc>
        <w:tc>
          <w:tcPr>
            <w:tcW w:type="dxa" w:w="1728"/>
          </w:tcPr>
          <w:p>
            <w:r>
              <w:t>A</w:t>
            </w:r>
          </w:p>
        </w:tc>
        <w:tc>
          <w:tcPr>
            <w:tcW w:type="dxa" w:w="1728"/>
          </w:tcPr>
          <w:p>
            <w:r>
              <w:t>High-demand concert nights, suite guests, sponsors, premium exits</w:t>
            </w:r>
          </w:p>
        </w:tc>
      </w:tr>
      <w:tr>
        <w:tc>
          <w:tcPr>
            <w:tcW w:type="dxa" w:w="1728"/>
          </w:tcPr>
          <w:p>
            <w:r>
              <w:t>Dec. 5, 2026</w:t>
            </w:r>
          </w:p>
        </w:tc>
        <w:tc>
          <w:tcPr>
            <w:tcW w:type="dxa" w:w="1728"/>
          </w:tcPr>
          <w:p>
            <w:r>
              <w:t>SEC Championship</w:t>
            </w:r>
          </w:p>
        </w:tc>
        <w:tc>
          <w:tcPr>
            <w:tcW w:type="dxa" w:w="1728"/>
          </w:tcPr>
          <w:p>
            <w:r>
              <w:t>Mercedes-Benz Stadium</w:t>
            </w:r>
          </w:p>
        </w:tc>
        <w:tc>
          <w:tcPr>
            <w:tcW w:type="dxa" w:w="1728"/>
          </w:tcPr>
          <w:p>
            <w:r>
              <w:t>A+</w:t>
            </w:r>
          </w:p>
        </w:tc>
        <w:tc>
          <w:tcPr>
            <w:tcW w:type="dxa" w:w="1728"/>
          </w:tcPr>
          <w:p>
            <w:r>
              <w:t>Corporate hospitality, alumni groups, VIP fan travel, sponsor routes</w:t>
            </w:r>
          </w:p>
        </w:tc>
      </w:tr>
    </w:tbl>
    <w:p>
      <w:pPr>
        <w:pStyle w:val="Heading2"/>
      </w:pPr>
      <w:r>
        <w:t>WhichWay Platform Integration</w:t>
      </w:r>
    </w:p>
    <w:p>
      <w:r>
        <w:t>UNYKORN BLACK operates within the WhichWay event OS at https://fifa.unykorn.org/. The mobility layer connects with guest flow, venue maps, merchant referrals, emergency routing, and sponsor dashboards. This increases sponsor retention value and creates auditable data for loan covenant monitoring.</w:t>
      </w:r>
    </w:p>
    <w:p>
      <w:r>
        <w:t>Live modules: /guest, /demo, /passport, /map, /merchants, /emergency, /sign-up, /sales. Powered by TROPTIONS settlement reporting and Apostle Chain settlement infrastructure.</w:t>
      </w:r>
    </w:p>
    <w:p>
      <w:pPr>
        <w:pStyle w:val="Heading2"/>
      </w:pPr>
      <w:r>
        <w:t>Underwriting Recommendation</w:t>
      </w:r>
    </w:p>
    <w:p>
      <w:r>
        <w:t>Recommended facility structure: staged release with KPI triggers. Tranche 1 ($250,000) on execution for vehicle acquisition and insurance reserve. Tranche 2 ($250,000) on first sponsor contract and BlackPass presale confirmation. Tranche 3 ($150,000) post-World Cup event window performance proof. Monthly financial reporting with TROPTIONS transaction audit included.</w:t>
      </w:r>
    </w:p>
    <w:p>
      <w:r>
        <w:t>Prepared for lender review | May 8, 2026 | https://fifa.unykorn.org/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