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UNYKORN BLACK: Institutional Funding Request Letters</w:t>
      </w:r>
    </w:p>
    <w:p>
      <w:r>
        <w:t>Primary Hub: 5655 Peachtree Pkwy, Norcross, GA 30092 | Target Launch: 2026</w:t>
      </w:r>
    </w:p>
    <w:p>
      <w:pPr>
        <w:pStyle w:val="Heading1"/>
      </w:pPr>
      <w:r>
        <w:t>LETTER 1: Commercial Equipment &amp; Auto-Lending Facility</w:t>
      </w:r>
    </w:p>
    <w:p>
      <w:r>
        <w:t>To: Senior Credit Officer / Commercial Lending Committee</w:t>
        <w:br/>
        <w:t>RE: Commercial Fleet Financing Facility ($350,000 Equipment Line / 6-8 Autonomous Tesla Fleet)</w:t>
        <w:br/>
        <w:br/>
        <w:t>Dear Lending Committee,</w:t>
        <w:br/>
        <w:br/>
        <w:t>Unykorn LLC respectfully submits this formal request for a $350,000 commercial equipment and vehicle financing facility to fund the acquisition of an initial 6 to 8 Tesla Model Y / CyberCab autonomous vehicles stationed at our central operations depot located at 5655 Peachtree Pkwy, Norcross, GA 30092.</w:t>
        <w:br/>
        <w:br/>
        <w:t>Key Credit Highlights:</w:t>
        <w:br/>
        <w:t>- Collateral: First-priority lien on vehicle titles (CPO &amp; new Tesla assets with factory battery warranties).</w:t>
        <w:br/>
        <w:t>- Exceptional Coverage: Base-case gross revenue of $1,414,200 yields an uncompromised 7.2x to 13.0x Debt Service Coverage Ratio (DSCR).</w:t>
        <w:br/>
        <w:t>- Down Payment Buffer: Borrower contributes $115,000 in equity cash reserves toward acquisition down payments.</w:t>
        <w:br/>
        <w:t>- Corporate Liability Ring-Fence: Vehicles operated under bankruptcy-remote subsidiary trusts with $5,000,000 Combined Single Limit commercial auto liability insurance.</w:t>
        <w:br/>
        <w:br/>
        <w:t>We welcome the opportunity to review our full pro forma, driverless operating permits (O.C.G.A. 40-8-110), and corporate resolutions with your underwriting team.</w:t>
      </w:r>
    </w:p>
    <w:p>
      <w:pPr>
        <w:pStyle w:val="Heading1"/>
      </w:pPr>
      <w:r>
        <w:t>LETTER 2: Private Credit &amp; Real-World Asset (RWA) Partner</w:t>
      </w:r>
    </w:p>
    <w:p>
      <w:r>
        <w:t>To: Investment Committee / Private Credit Fund Managers</w:t>
        <w:br/>
        <w:t>RE: High-Yield Secured Real-World Asset (RWA) Debt Facility ($650,000 Launch Tranche)</w:t>
        <w:br/>
        <w:br/>
        <w:t>Dear Investment Partners,</w:t>
        <w:br/>
        <w:br/>
        <w:t>Unykorn LLC presents an institutional opportunity to back the premier autonomous event mobility fleet in the Southeast. Operating from our central staging base at 5655 Peachtree Pkwy in Norcross, GA, Unykorn Black bridges vehicle physical assets with automated on-chain financial settlement.</w:t>
        <w:br/>
        <w:br/>
        <w:t>Structure &amp; Yield Profile:</w:t>
        <w:br/>
        <w:t>- Capital Request: $650,000 Senior Secured Note.</w:t>
        <w:br/>
        <w:t>- Target Yield: 12.0% - 14.0% annualized coupon with monthly distributions.</w:t>
        <w:br/>
        <w:t>- Automated Smart Contract Waterfall: All fare revenues settle via Base EVM smart contracts, automatically routing 40% of gross revenues to debt service before any operational distributions or equity yield.</w:t>
        <w:br/>
        <w:t>- Custody &amp; Escrow: Institutional custody and collateral management through BitGo Enterprise rails.</w:t>
      </w:r>
    </w:p>
    <w:p>
      <w:pPr>
        <w:pStyle w:val="Heading1"/>
      </w:pPr>
      <w:r>
        <w:t>LETTER 3: Corporate Sponsor &amp; VIP Route Pre-Sale Partner</w:t>
      </w:r>
    </w:p>
    <w:p>
      <w:r>
        <w:t>To: Chief Marketing Officer / Head of Corporate Partnerships</w:t>
        <w:br/>
        <w:t>RE: Exclusive 2026 World Cup &amp; Premier Event Route Media Inventory</w:t>
        <w:br/>
        <w:br/>
        <w:t>Dear Partner,</w:t>
        <w:br/>
        <w:br/>
        <w:t>Unykorn Black invites your brand to own Atlanta's most prestigious transit corridors throughout the historic 2026 event season, including the 8-match FIFA World Cup window at Mercedes-Benz Stadium and the TOUR Championship.</w:t>
        <w:br/>
        <w:br/>
        <w:t>Sponsor Activation Assets:</w:t>
        <w:br/>
        <w:t>- Route Ownership: Exclusive sponsor rights along high-density corridors (Norcross -&gt; Buckhead -&gt; Stadium -&gt; Airport).</w:t>
        <w:br/>
        <w:t>- In-Cabin Ambient Screen Sync: Your brand profile pre-loaded onto rear passenger OLED touchscreens for executive travelers.</w:t>
        <w:br/>
        <w:t>- Guaranteed Impression &amp; Conversion Data: Direct QR merchant referrals and cryptographic proof-of-ride reporting.</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