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Executive EV SUV Tier</w:t>
      </w:r>
    </w:p>
    <w:p>
      <w:r>
        <w:rPr>
          <w:color w:val="A56B16"/>
          <w:sz w:val="18"/>
        </w:rPr>
        <w:t>Business Plan Addendum · UnyKorn Black · 5655 Peachtree Pkwy, Norcross, GA 30092 · 29 September 2026</w:t>
      </w:r>
    </w:p>
    <w:p>
      <w:r>
        <w:rPr>
          <w:i/>
          <w:color w:val="5A3D0A"/>
        </w:rPr>
        <w:t>MODELED, NOT ACTUAL. No vehicles in this tier have been acquired and no operations have begun. Vehicle prices, ranges and features were checked against manufacturer websites and fueleconomy.gov on 29 September 2026. Day rates and utilization are planning assumptions to be validated against signed accounts and Atlanta black-car rate cards. Nothing in this document is an offer of securities.</w:t>
      </w:r>
    </w:p>
    <w:p>
      <w:pPr>
        <w:pStyle w:val="Heading1"/>
      </w:pPr>
      <w:r>
        <w:t>1. What this tier adds</w:t>
      </w:r>
    </w:p>
    <w:p>
      <w:r>
        <w:t>The existing plan runs certified pre-owned Tesla Model Y units at roughly $210 per day. The Executive EV SUV tier adds chauffeured, all-electric luxury SUVs for the work a Model Y cannot win: airport arrivals for executives, stadium and sponsor hospitality, hotel VIP blocks and principals. These routes are modeled at roughly two to three times the Model Y day rate and are the routes Waymo's intown geofence does not serve (interstates, Hartsfield-Jackson, perimeter corridors).</w:t>
      </w:r>
    </w:p>
    <w:p>
      <w:pPr>
        <w:pStyle w:val="ListBullet"/>
      </w:pPr>
      <w:r>
        <w:t>Higher revenue per vehicle: modeled gross of $105,000 to $225,000 per year versus $63,000 for a Model Y.</w:t>
      </w:r>
    </w:p>
    <w:p>
      <w:pPr>
        <w:pStyle w:val="ListBullet"/>
      </w:pPr>
      <w:r>
        <w:t>Seven-seat capacity (Vistiq, Escalade IQ, R1S, Gravity, EQS) lets one vehicle carry a full delegation.</w:t>
      </w:r>
    </w:p>
    <w:p>
      <w:pPr>
        <w:pStyle w:val="ListBullet"/>
      </w:pPr>
      <w:r>
        <w:t>Brand fit with the 'Black' positioning: Cadillac and Maybach are what corporate and VIP buyers expect.</w:t>
      </w:r>
    </w:p>
    <w:p>
      <w:pPr>
        <w:pStyle w:val="ListBullet"/>
      </w:pPr>
      <w:r>
        <w:t>A bridge to autonomy: these vehicles earn on the corridors now and hand them to autonomous units as they are approved.</w:t>
      </w:r>
    </w:p>
    <w:p>
      <w:pPr>
        <w:pStyle w:val="Heading1"/>
      </w:pPr>
      <w:r>
        <w:t>2. Verified vehicle specifications</w:t>
      </w:r>
    </w:p>
    <w:p>
      <w:r>
        <w:t>US starting MSRP excluding destination. EPA range unless marked. Hands-free systems still require a supervising driver.</w:t>
      </w:r>
    </w:p>
    <w:tbl>
      <w:tblPr>
        <w:tblStyle w:val="LightGrid-Accent1"/>
        <w:tblW w:type="auto" w:w="0"/>
        <w:jc w:val="center"/>
        <w:tblLook w:firstColumn="1" w:firstRow="1" w:lastColumn="0" w:lastRow="0" w:noHBand="0" w:noVBand="1" w:val="04A0"/>
      </w:tblPr>
      <w:tblGrid>
        <w:gridCol w:w="1440"/>
        <w:gridCol w:w="1440"/>
        <w:gridCol w:w="1440"/>
        <w:gridCol w:w="1440"/>
        <w:gridCol w:w="1440"/>
        <w:gridCol w:w="1440"/>
      </w:tblGrid>
      <w:tr>
        <w:tc>
          <w:tcPr>
            <w:tcW w:type="dxa" w:w="1440"/>
          </w:tcPr>
          <w:p>
            <w:r>
              <w:rPr>
                <w:b/>
                <w:sz w:val="16"/>
              </w:rPr>
              <w:t>Vehicle</w:t>
            </w:r>
          </w:p>
        </w:tc>
        <w:tc>
          <w:tcPr>
            <w:tcW w:type="dxa" w:w="1440"/>
          </w:tcPr>
          <w:p>
            <w:r>
              <w:rPr>
                <w:b/>
                <w:sz w:val="16"/>
              </w:rPr>
              <w:t>From (MSRP)</w:t>
            </w:r>
          </w:p>
        </w:tc>
        <w:tc>
          <w:tcPr>
            <w:tcW w:type="dxa" w:w="1440"/>
          </w:tcPr>
          <w:p>
            <w:r>
              <w:rPr>
                <w:b/>
                <w:sz w:val="16"/>
              </w:rPr>
              <w:t>Range</w:t>
            </w:r>
          </w:p>
        </w:tc>
        <w:tc>
          <w:tcPr>
            <w:tcW w:type="dxa" w:w="1440"/>
          </w:tcPr>
          <w:p>
            <w:r>
              <w:rPr>
                <w:b/>
                <w:sz w:val="16"/>
              </w:rPr>
              <w:t>Seats</w:t>
            </w:r>
          </w:p>
        </w:tc>
        <w:tc>
          <w:tcPr>
            <w:tcW w:type="dxa" w:w="1440"/>
          </w:tcPr>
          <w:p>
            <w:r>
              <w:rPr>
                <w:b/>
                <w:sz w:val="16"/>
              </w:rPr>
              <w:t>Charge port</w:t>
            </w:r>
          </w:p>
        </w:tc>
        <w:tc>
          <w:tcPr>
            <w:tcW w:type="dxa" w:w="1440"/>
          </w:tcPr>
          <w:p>
            <w:r>
              <w:rPr>
                <w:b/>
                <w:sz w:val="16"/>
              </w:rPr>
              <w:t>Driver assist</w:t>
            </w:r>
          </w:p>
        </w:tc>
      </w:tr>
      <w:tr>
        <w:tc>
          <w:tcPr>
            <w:tcW w:type="dxa" w:w="1440"/>
          </w:tcPr>
          <w:p>
            <w:r>
              <w:rPr>
                <w:b w:val="0"/>
                <w:sz w:val="16"/>
              </w:rPr>
              <w:t>Cadillac Escalade IQ</w:t>
            </w:r>
          </w:p>
        </w:tc>
        <w:tc>
          <w:tcPr>
            <w:tcW w:type="dxa" w:w="1440"/>
          </w:tcPr>
          <w:p>
            <w:r>
              <w:rPr>
                <w:b w:val="0"/>
                <w:sz w:val="16"/>
              </w:rPr>
              <w:t>$127,405</w:t>
            </w:r>
          </w:p>
        </w:tc>
        <w:tc>
          <w:tcPr>
            <w:tcW w:type="dxa" w:w="1440"/>
          </w:tcPr>
          <w:p>
            <w:r>
              <w:rPr>
                <w:b w:val="0"/>
                <w:sz w:val="16"/>
              </w:rPr>
              <w:t>465 mi (Cadillac est.)</w:t>
            </w:r>
          </w:p>
        </w:tc>
        <w:tc>
          <w:tcPr>
            <w:tcW w:type="dxa" w:w="1440"/>
          </w:tcPr>
          <w:p>
            <w:r>
              <w:rPr>
                <w:b w:val="0"/>
                <w:sz w:val="16"/>
              </w:rPr>
              <w:t>7</w:t>
            </w:r>
          </w:p>
        </w:tc>
        <w:tc>
          <w:tcPr>
            <w:tcW w:type="dxa" w:w="1440"/>
          </w:tcPr>
          <w:p>
            <w:r>
              <w:rPr>
                <w:b w:val="0"/>
                <w:sz w:val="16"/>
              </w:rPr>
              <w:t>CCS1 + NACS adapter</w:t>
            </w:r>
          </w:p>
        </w:tc>
        <w:tc>
          <w:tcPr>
            <w:tcW w:type="dxa" w:w="1440"/>
          </w:tcPr>
          <w:p>
            <w:r>
              <w:rPr>
                <w:b w:val="0"/>
                <w:sz w:val="16"/>
              </w:rPr>
              <w:t>Super Cruise (hands-free)</w:t>
            </w:r>
          </w:p>
        </w:tc>
      </w:tr>
      <w:tr>
        <w:tc>
          <w:tcPr>
            <w:tcW w:type="dxa" w:w="1440"/>
          </w:tcPr>
          <w:p>
            <w:r>
              <w:rPr>
                <w:b w:val="0"/>
                <w:sz w:val="16"/>
              </w:rPr>
              <w:t>Cadillac Vistiq</w:t>
            </w:r>
          </w:p>
        </w:tc>
        <w:tc>
          <w:tcPr>
            <w:tcW w:type="dxa" w:w="1440"/>
          </w:tcPr>
          <w:p>
            <w:r>
              <w:rPr>
                <w:b w:val="0"/>
                <w:sz w:val="16"/>
              </w:rPr>
              <w:t>$77,500</w:t>
            </w:r>
          </w:p>
        </w:tc>
        <w:tc>
          <w:tcPr>
            <w:tcW w:type="dxa" w:w="1440"/>
          </w:tcPr>
          <w:p>
            <w:r>
              <w:rPr>
                <w:b w:val="0"/>
                <w:sz w:val="16"/>
              </w:rPr>
              <w:t>305 mi EPA</w:t>
            </w:r>
          </w:p>
        </w:tc>
        <w:tc>
          <w:tcPr>
            <w:tcW w:type="dxa" w:w="1440"/>
          </w:tcPr>
          <w:p>
            <w:r>
              <w:rPr>
                <w:b w:val="0"/>
                <w:sz w:val="16"/>
              </w:rPr>
              <w:t>7 (6 w/ captain's chairs)</w:t>
            </w:r>
          </w:p>
        </w:tc>
        <w:tc>
          <w:tcPr>
            <w:tcW w:type="dxa" w:w="1440"/>
          </w:tcPr>
          <w:p>
            <w:r>
              <w:rPr>
                <w:b w:val="0"/>
                <w:sz w:val="16"/>
              </w:rPr>
              <w:t>NACS native</w:t>
            </w:r>
          </w:p>
        </w:tc>
        <w:tc>
          <w:tcPr>
            <w:tcW w:type="dxa" w:w="1440"/>
          </w:tcPr>
          <w:p>
            <w:r>
              <w:rPr>
                <w:b w:val="0"/>
                <w:sz w:val="16"/>
              </w:rPr>
              <w:t>Super Cruise (hands-free)</w:t>
            </w:r>
          </w:p>
        </w:tc>
      </w:tr>
      <w:tr>
        <w:tc>
          <w:tcPr>
            <w:tcW w:type="dxa" w:w="1440"/>
          </w:tcPr>
          <w:p>
            <w:r>
              <w:rPr>
                <w:b w:val="0"/>
                <w:sz w:val="16"/>
              </w:rPr>
              <w:t>Cadillac Lyriq</w:t>
            </w:r>
          </w:p>
        </w:tc>
        <w:tc>
          <w:tcPr>
            <w:tcW w:type="dxa" w:w="1440"/>
          </w:tcPr>
          <w:p>
            <w:r>
              <w:rPr>
                <w:b w:val="0"/>
                <w:sz w:val="16"/>
              </w:rPr>
              <w:t>$59,400</w:t>
            </w:r>
          </w:p>
        </w:tc>
        <w:tc>
          <w:tcPr>
            <w:tcW w:type="dxa" w:w="1440"/>
          </w:tcPr>
          <w:p>
            <w:r>
              <w:rPr>
                <w:b w:val="0"/>
                <w:sz w:val="16"/>
              </w:rPr>
              <w:t>326 mi EPA (RWD) / 319 (AWD)</w:t>
            </w:r>
          </w:p>
        </w:tc>
        <w:tc>
          <w:tcPr>
            <w:tcW w:type="dxa" w:w="1440"/>
          </w:tcPr>
          <w:p>
            <w:r>
              <w:rPr>
                <w:b w:val="0"/>
                <w:sz w:val="16"/>
              </w:rPr>
              <w:t>5</w:t>
            </w:r>
          </w:p>
        </w:tc>
        <w:tc>
          <w:tcPr>
            <w:tcW w:type="dxa" w:w="1440"/>
          </w:tcPr>
          <w:p>
            <w:r>
              <w:rPr>
                <w:b w:val="0"/>
                <w:sz w:val="16"/>
              </w:rPr>
              <w:t>NACS native (2027)</w:t>
            </w:r>
          </w:p>
        </w:tc>
        <w:tc>
          <w:tcPr>
            <w:tcW w:type="dxa" w:w="1440"/>
          </w:tcPr>
          <w:p>
            <w:r>
              <w:rPr>
                <w:b w:val="0"/>
                <w:sz w:val="16"/>
              </w:rPr>
              <w:t>Super Cruise (hands-free)</w:t>
            </w:r>
          </w:p>
        </w:tc>
      </w:tr>
      <w:tr>
        <w:tc>
          <w:tcPr>
            <w:tcW w:type="dxa" w:w="1440"/>
          </w:tcPr>
          <w:p>
            <w:r>
              <w:rPr>
                <w:b w:val="0"/>
                <w:sz w:val="16"/>
              </w:rPr>
              <w:t>Tesla Model X (CPO)</w:t>
            </w:r>
          </w:p>
        </w:tc>
        <w:tc>
          <w:tcPr>
            <w:tcW w:type="dxa" w:w="1440"/>
          </w:tcPr>
          <w:p>
            <w:r>
              <w:rPr>
                <w:b w:val="0"/>
                <w:sz w:val="16"/>
              </w:rPr>
              <w:t>CPO market; last new list ~$99,990</w:t>
            </w:r>
          </w:p>
        </w:tc>
        <w:tc>
          <w:tcPr>
            <w:tcW w:type="dxa" w:w="1440"/>
          </w:tcPr>
          <w:p>
            <w:r>
              <w:rPr>
                <w:b w:val="0"/>
                <w:sz w:val="16"/>
              </w:rPr>
              <w:t>352 mi EPA (AWD) / 335 (Plaid)</w:t>
            </w:r>
          </w:p>
        </w:tc>
        <w:tc>
          <w:tcPr>
            <w:tcW w:type="dxa" w:w="1440"/>
          </w:tcPr>
          <w:p>
            <w:r>
              <w:rPr>
                <w:b w:val="0"/>
                <w:sz w:val="16"/>
              </w:rPr>
              <w:t>5, 6 or 7</w:t>
            </w:r>
          </w:p>
        </w:tc>
        <w:tc>
          <w:tcPr>
            <w:tcW w:type="dxa" w:w="1440"/>
          </w:tcPr>
          <w:p>
            <w:r>
              <w:rPr>
                <w:b w:val="0"/>
                <w:sz w:val="16"/>
              </w:rPr>
              <w:t>NACS native</w:t>
            </w:r>
          </w:p>
        </w:tc>
        <w:tc>
          <w:tcPr>
            <w:tcW w:type="dxa" w:w="1440"/>
          </w:tcPr>
          <w:p>
            <w:r>
              <w:rPr>
                <w:b w:val="0"/>
                <w:sz w:val="16"/>
              </w:rPr>
              <w:t>FSD (Supervised)</w:t>
            </w:r>
          </w:p>
        </w:tc>
      </w:tr>
      <w:tr>
        <w:tc>
          <w:tcPr>
            <w:tcW w:type="dxa" w:w="1440"/>
          </w:tcPr>
          <w:p>
            <w:r>
              <w:rPr>
                <w:b w:val="0"/>
                <w:sz w:val="16"/>
              </w:rPr>
              <w:t>Maybach EQS 680 SUV</w:t>
            </w:r>
          </w:p>
        </w:tc>
        <w:tc>
          <w:tcPr>
            <w:tcW w:type="dxa" w:w="1440"/>
          </w:tcPr>
          <w:p>
            <w:r>
              <w:rPr>
                <w:b w:val="0"/>
                <w:sz w:val="16"/>
              </w:rPr>
              <w:t>$180,000</w:t>
            </w:r>
          </w:p>
        </w:tc>
        <w:tc>
          <w:tcPr>
            <w:tcW w:type="dxa" w:w="1440"/>
          </w:tcPr>
          <w:p>
            <w:r>
              <w:rPr>
                <w:b w:val="0"/>
                <w:sz w:val="16"/>
              </w:rPr>
              <w:t>300 mi EPA</w:t>
            </w:r>
          </w:p>
        </w:tc>
        <w:tc>
          <w:tcPr>
            <w:tcW w:type="dxa" w:w="1440"/>
          </w:tcPr>
          <w:p>
            <w:r>
              <w:rPr>
                <w:b w:val="0"/>
                <w:sz w:val="16"/>
              </w:rPr>
              <w:t>5 (4 w/ Executive Rear Seat pkg)</w:t>
            </w:r>
          </w:p>
        </w:tc>
        <w:tc>
          <w:tcPr>
            <w:tcW w:type="dxa" w:w="1440"/>
          </w:tcPr>
          <w:p>
            <w:r>
              <w:rPr>
                <w:b w:val="0"/>
                <w:sz w:val="16"/>
              </w:rPr>
              <w:t>CCS1 + NACS adapter</w:t>
            </w:r>
          </w:p>
        </w:tc>
        <w:tc>
          <w:tcPr>
            <w:tcW w:type="dxa" w:w="1440"/>
          </w:tcPr>
          <w:p>
            <w:r>
              <w:rPr>
                <w:b w:val="0"/>
                <w:sz w:val="16"/>
              </w:rPr>
              <w:t>DISTRONIC + Active Steering Assist (hands-on)</w:t>
            </w:r>
          </w:p>
        </w:tc>
      </w:tr>
      <w:tr>
        <w:tc>
          <w:tcPr>
            <w:tcW w:type="dxa" w:w="1440"/>
          </w:tcPr>
          <w:p>
            <w:r>
              <w:rPr>
                <w:b w:val="0"/>
                <w:sz w:val="16"/>
              </w:rPr>
              <w:t>Lucid Gravity</w:t>
            </w:r>
          </w:p>
        </w:tc>
        <w:tc>
          <w:tcPr>
            <w:tcW w:type="dxa" w:w="1440"/>
          </w:tcPr>
          <w:p>
            <w:r>
              <w:rPr>
                <w:b w:val="0"/>
                <w:sz w:val="16"/>
              </w:rPr>
              <w:t>From $79,900 (Touring); $98,900 (Grand Touring)</w:t>
            </w:r>
          </w:p>
        </w:tc>
        <w:tc>
          <w:tcPr>
            <w:tcW w:type="dxa" w:w="1440"/>
          </w:tcPr>
          <w:p>
            <w:r>
              <w:rPr>
                <w:b w:val="0"/>
                <w:sz w:val="16"/>
              </w:rPr>
              <w:t>337 mi (Touring) to 450 mi (Grand Touring) EPA</w:t>
            </w:r>
          </w:p>
        </w:tc>
        <w:tc>
          <w:tcPr>
            <w:tcW w:type="dxa" w:w="1440"/>
          </w:tcPr>
          <w:p>
            <w:r>
              <w:rPr>
                <w:b w:val="0"/>
                <w:sz w:val="16"/>
              </w:rPr>
              <w:t>5 std, 7 optional</w:t>
            </w:r>
          </w:p>
        </w:tc>
        <w:tc>
          <w:tcPr>
            <w:tcW w:type="dxa" w:w="1440"/>
          </w:tcPr>
          <w:p>
            <w:r>
              <w:rPr>
                <w:b w:val="0"/>
                <w:sz w:val="16"/>
              </w:rPr>
              <w:t>NACS native</w:t>
            </w:r>
          </w:p>
        </w:tc>
        <w:tc>
          <w:tcPr>
            <w:tcW w:type="dxa" w:w="1440"/>
          </w:tcPr>
          <w:p>
            <w:r>
              <w:rPr>
                <w:b w:val="0"/>
                <w:sz w:val="16"/>
              </w:rPr>
              <w:t>DreamDrive 2 (hands-free w/ Pro)</w:t>
            </w:r>
          </w:p>
        </w:tc>
      </w:tr>
      <w:tr>
        <w:tc>
          <w:tcPr>
            <w:tcW w:type="dxa" w:w="1440"/>
          </w:tcPr>
          <w:p>
            <w:r>
              <w:rPr>
                <w:b w:val="0"/>
                <w:sz w:val="16"/>
              </w:rPr>
              <w:t>Rivian R1S</w:t>
            </w:r>
          </w:p>
        </w:tc>
        <w:tc>
          <w:tcPr>
            <w:tcW w:type="dxa" w:w="1440"/>
          </w:tcPr>
          <w:p>
            <w:r>
              <w:rPr>
                <w:b w:val="0"/>
                <w:sz w:val="16"/>
              </w:rPr>
              <w:t>$83,990</w:t>
            </w:r>
          </w:p>
        </w:tc>
        <w:tc>
          <w:tcPr>
            <w:tcW w:type="dxa" w:w="1440"/>
          </w:tcPr>
          <w:p>
            <w:r>
              <w:rPr>
                <w:b w:val="0"/>
                <w:sz w:val="16"/>
              </w:rPr>
              <w:t>300 to 410 mi EPA (by battery/wheels)</w:t>
            </w:r>
          </w:p>
        </w:tc>
        <w:tc>
          <w:tcPr>
            <w:tcW w:type="dxa" w:w="1440"/>
          </w:tcPr>
          <w:p>
            <w:r>
              <w:rPr>
                <w:b w:val="0"/>
                <w:sz w:val="16"/>
              </w:rPr>
              <w:t>7 (6 w/ captain's chairs)</w:t>
            </w:r>
          </w:p>
        </w:tc>
        <w:tc>
          <w:tcPr>
            <w:tcW w:type="dxa" w:w="1440"/>
          </w:tcPr>
          <w:p>
            <w:r>
              <w:rPr>
                <w:b w:val="0"/>
                <w:sz w:val="16"/>
              </w:rPr>
              <w:t>NACS port (MY2026+)</w:t>
            </w:r>
          </w:p>
        </w:tc>
        <w:tc>
          <w:tcPr>
            <w:tcW w:type="dxa" w:w="1440"/>
          </w:tcPr>
          <w:p>
            <w:r>
              <w:rPr>
                <w:b w:val="0"/>
                <w:sz w:val="16"/>
              </w:rPr>
              <w:t>Universal Hands-Free (subscription)</w:t>
            </w:r>
          </w:p>
        </w:tc>
      </w:tr>
      <w:tr>
        <w:tc>
          <w:tcPr>
            <w:tcW w:type="dxa" w:w="1440"/>
          </w:tcPr>
          <w:p>
            <w:r>
              <w:rPr>
                <w:b w:val="0"/>
                <w:sz w:val="16"/>
              </w:rPr>
              <w:t>Mercedes EQS 550 SUV</w:t>
            </w:r>
          </w:p>
        </w:tc>
        <w:tc>
          <w:tcPr>
            <w:tcW w:type="dxa" w:w="1440"/>
          </w:tcPr>
          <w:p>
            <w:r>
              <w:rPr>
                <w:b w:val="0"/>
                <w:sz w:val="16"/>
              </w:rPr>
              <w:t>$112,450 (EQS 400 from $89,950)</w:t>
            </w:r>
          </w:p>
        </w:tc>
        <w:tc>
          <w:tcPr>
            <w:tcW w:type="dxa" w:w="1440"/>
          </w:tcPr>
          <w:p>
            <w:r>
              <w:rPr>
                <w:b w:val="0"/>
                <w:sz w:val="16"/>
              </w:rPr>
              <w:t>317 mi EPA</w:t>
            </w:r>
          </w:p>
        </w:tc>
        <w:tc>
          <w:tcPr>
            <w:tcW w:type="dxa" w:w="1440"/>
          </w:tcPr>
          <w:p>
            <w:r>
              <w:rPr>
                <w:b w:val="0"/>
                <w:sz w:val="16"/>
              </w:rPr>
              <w:t>5 std, 7 optional</w:t>
            </w:r>
          </w:p>
        </w:tc>
        <w:tc>
          <w:tcPr>
            <w:tcW w:type="dxa" w:w="1440"/>
          </w:tcPr>
          <w:p>
            <w:r>
              <w:rPr>
                <w:b w:val="0"/>
                <w:sz w:val="16"/>
              </w:rPr>
              <w:t>CCS1 + NACS adapter</w:t>
            </w:r>
          </w:p>
        </w:tc>
        <w:tc>
          <w:tcPr>
            <w:tcW w:type="dxa" w:w="1440"/>
          </w:tcPr>
          <w:p>
            <w:r>
              <w:rPr>
                <w:b w:val="0"/>
                <w:sz w:val="16"/>
              </w:rPr>
              <w:t>DISTRONIC + Active Steering Assist (hands-on)</w:t>
            </w:r>
          </w:p>
        </w:tc>
      </w:tr>
    </w:tbl>
    <w:p/>
    <w:p>
      <w:pPr>
        <w:pStyle w:val="ListBullet"/>
      </w:pPr>
      <w:r>
        <w:t>Tesla Model X: production ended in 2026. Sourced as certified pre-owned or remaining inventory, like the Model Y tier.</w:t>
      </w:r>
    </w:p>
    <w:p>
      <w:pPr>
        <w:pStyle w:val="ListBullet"/>
      </w:pPr>
      <w:r>
        <w:t>Escalade IQ range (465 mi) is Cadillac's estimate; the EPA has not rated it. Escalade IQL is $130,405 / 460 mi (est.).</w:t>
      </w:r>
    </w:p>
    <w:p>
      <w:pPr>
        <w:pStyle w:val="ListBullet"/>
      </w:pPr>
      <w:r>
        <w:t>BMW iX was considered and excluded: BMW ended US sales after model year 2026.</w:t>
      </w:r>
    </w:p>
    <w:p>
      <w:pPr>
        <w:pStyle w:val="ListBullet"/>
      </w:pPr>
      <w:r>
        <w:t>Mercedes offers no 2027 'EQS 580 SUV'; the EQS 550 SUV is the top non-Maybach trim.</w:t>
      </w:r>
    </w:p>
    <w:p>
      <w:pPr>
        <w:pStyle w:val="Heading1"/>
      </w:pPr>
      <w:r>
        <w:t>3. Per-vehicle economics (modeled)</w:t>
      </w:r>
    </w:p>
    <w:p>
      <w:r>
        <w:t>Assumptions match the published pro forma: driver pay 35%, energy and maintenance 8%, platform 3% of fare (46% variable). 300 operating days per year. Insurance $12,500/vehicle/year, the site's human-driven benchmark, because this tier is chauffeured. 15% cash down, balance financed at an indicative 9.5% APR over 60 months (not a lender quote). Contribution is before shared fixed overhead ($18,000/month fleet-wide in the base plan).</w:t>
      </w:r>
    </w:p>
    <w:tbl>
      <w:tblPr>
        <w:tblStyle w:val="LightGrid-Accent1"/>
        <w:tblW w:type="auto" w:w="0"/>
        <w:jc w:val="center"/>
        <w:tblLook w:firstColumn="1" w:firstRow="1" w:lastColumn="0" w:lastRow="0" w:noHBand="0" w:noVBand="1" w:val="04A0"/>
      </w:tblPr>
      <w:tblGrid>
        <w:gridCol w:w="960"/>
        <w:gridCol w:w="960"/>
        <w:gridCol w:w="960"/>
        <w:gridCol w:w="960"/>
        <w:gridCol w:w="960"/>
        <w:gridCol w:w="960"/>
        <w:gridCol w:w="960"/>
        <w:gridCol w:w="960"/>
        <w:gridCol w:w="960"/>
      </w:tblGrid>
      <w:tr>
        <w:tc>
          <w:tcPr>
            <w:tcW w:type="dxa" w:w="960"/>
          </w:tcPr>
          <w:p>
            <w:r>
              <w:rPr>
                <w:b/>
                <w:sz w:val="16"/>
              </w:rPr>
              <w:t>Vehicle</w:t>
            </w:r>
          </w:p>
        </w:tc>
        <w:tc>
          <w:tcPr>
            <w:tcW w:type="dxa" w:w="960"/>
          </w:tcPr>
          <w:p>
            <w:r>
              <w:rPr>
                <w:b/>
                <w:sz w:val="16"/>
              </w:rPr>
              <w:t>Price modeled</w:t>
            </w:r>
          </w:p>
        </w:tc>
        <w:tc>
          <w:tcPr>
            <w:tcW w:type="dxa" w:w="960"/>
          </w:tcPr>
          <w:p>
            <w:r>
              <w:rPr>
                <w:b/>
                <w:sz w:val="16"/>
              </w:rPr>
              <w:t>Day rate</w:t>
            </w:r>
          </w:p>
        </w:tc>
        <w:tc>
          <w:tcPr>
            <w:tcW w:type="dxa" w:w="960"/>
          </w:tcPr>
          <w:p>
            <w:r>
              <w:rPr>
                <w:b/>
                <w:sz w:val="16"/>
              </w:rPr>
              <w:t>Gross / yr</w:t>
            </w:r>
          </w:p>
        </w:tc>
        <w:tc>
          <w:tcPr>
            <w:tcW w:type="dxa" w:w="960"/>
          </w:tcPr>
          <w:p>
            <w:r>
              <w:rPr>
                <w:b/>
                <w:sz w:val="16"/>
              </w:rPr>
              <w:t>Contribution</w:t>
            </w:r>
          </w:p>
        </w:tc>
        <w:tc>
          <w:tcPr>
            <w:tcW w:type="dxa" w:w="960"/>
          </w:tcPr>
          <w:p>
            <w:r>
              <w:rPr>
                <w:b/>
                <w:sz w:val="16"/>
              </w:rPr>
              <w:t>Debt svc / yr</w:t>
            </w:r>
          </w:p>
        </w:tc>
        <w:tc>
          <w:tcPr>
            <w:tcW w:type="dxa" w:w="960"/>
          </w:tcPr>
          <w:p>
            <w:r>
              <w:rPr>
                <w:b/>
                <w:sz w:val="16"/>
              </w:rPr>
              <w:t>DSCR</w:t>
            </w:r>
          </w:p>
        </w:tc>
        <w:tc>
          <w:tcPr>
            <w:tcW w:type="dxa" w:w="960"/>
          </w:tcPr>
          <w:p>
            <w:r>
              <w:rPr>
                <w:b/>
                <w:sz w:val="16"/>
              </w:rPr>
              <w:t>Break-even day rate</w:t>
            </w:r>
          </w:p>
        </w:tc>
        <w:tc>
          <w:tcPr>
            <w:tcW w:type="dxa" w:w="960"/>
          </w:tcPr>
          <w:p>
            <w:r>
              <w:rPr>
                <w:b/>
                <w:sz w:val="16"/>
              </w:rPr>
              <w:t>DSCR at 70% rate</w:t>
            </w:r>
          </w:p>
        </w:tc>
      </w:tr>
      <w:tr>
        <w:tc>
          <w:tcPr>
            <w:tcW w:type="dxa" w:w="960"/>
          </w:tcPr>
          <w:p>
            <w:r>
              <w:rPr>
                <w:b w:val="0"/>
                <w:sz w:val="16"/>
              </w:rPr>
              <w:t>Tesla Model Y LR (CPO, baseline)</w:t>
            </w:r>
          </w:p>
        </w:tc>
        <w:tc>
          <w:tcPr>
            <w:tcW w:type="dxa" w:w="960"/>
          </w:tcPr>
          <w:p>
            <w:r>
              <w:rPr>
                <w:b w:val="0"/>
                <w:sz w:val="16"/>
              </w:rPr>
              <w:t>$31,400</w:t>
            </w:r>
          </w:p>
        </w:tc>
        <w:tc>
          <w:tcPr>
            <w:tcW w:type="dxa" w:w="960"/>
          </w:tcPr>
          <w:p>
            <w:r>
              <w:rPr>
                <w:b w:val="0"/>
                <w:sz w:val="16"/>
              </w:rPr>
              <w:t>$210</w:t>
            </w:r>
          </w:p>
        </w:tc>
        <w:tc>
          <w:tcPr>
            <w:tcW w:type="dxa" w:w="960"/>
          </w:tcPr>
          <w:p>
            <w:r>
              <w:rPr>
                <w:b w:val="0"/>
                <w:sz w:val="16"/>
              </w:rPr>
              <w:t>$63,000</w:t>
            </w:r>
          </w:p>
        </w:tc>
        <w:tc>
          <w:tcPr>
            <w:tcW w:type="dxa" w:w="960"/>
          </w:tcPr>
          <w:p>
            <w:r>
              <w:rPr>
                <w:b w:val="0"/>
                <w:sz w:val="16"/>
              </w:rPr>
              <w:t>$21,520</w:t>
            </w:r>
          </w:p>
        </w:tc>
        <w:tc>
          <w:tcPr>
            <w:tcW w:type="dxa" w:w="960"/>
          </w:tcPr>
          <w:p>
            <w:r>
              <w:rPr>
                <w:b w:val="0"/>
                <w:sz w:val="16"/>
              </w:rPr>
              <w:t>$6,726</w:t>
            </w:r>
          </w:p>
        </w:tc>
        <w:tc>
          <w:tcPr>
            <w:tcW w:type="dxa" w:w="960"/>
          </w:tcPr>
          <w:p>
            <w:r>
              <w:rPr>
                <w:b w:val="0"/>
                <w:sz w:val="16"/>
              </w:rPr>
              <w:t>3.20x</w:t>
            </w:r>
          </w:p>
        </w:tc>
        <w:tc>
          <w:tcPr>
            <w:tcW w:type="dxa" w:w="960"/>
          </w:tcPr>
          <w:p>
            <w:r>
              <w:rPr>
                <w:b w:val="0"/>
                <w:sz w:val="16"/>
              </w:rPr>
              <w:t>$119</w:t>
            </w:r>
          </w:p>
        </w:tc>
        <w:tc>
          <w:tcPr>
            <w:tcW w:type="dxa" w:w="960"/>
          </w:tcPr>
          <w:p>
            <w:r>
              <w:rPr>
                <w:b w:val="0"/>
                <w:sz w:val="16"/>
              </w:rPr>
              <w:t>1.68x</w:t>
            </w:r>
          </w:p>
        </w:tc>
      </w:tr>
      <w:tr>
        <w:tc>
          <w:tcPr>
            <w:tcW w:type="dxa" w:w="960"/>
          </w:tcPr>
          <w:p>
            <w:r>
              <w:rPr>
                <w:b w:val="0"/>
                <w:sz w:val="16"/>
              </w:rPr>
              <w:t>Cadillac Escalade IQ</w:t>
            </w:r>
          </w:p>
        </w:tc>
        <w:tc>
          <w:tcPr>
            <w:tcW w:type="dxa" w:w="960"/>
          </w:tcPr>
          <w:p>
            <w:r>
              <w:rPr>
                <w:b w:val="0"/>
                <w:sz w:val="16"/>
              </w:rPr>
              <w:t>$127,405</w:t>
            </w:r>
          </w:p>
        </w:tc>
        <w:tc>
          <w:tcPr>
            <w:tcW w:type="dxa" w:w="960"/>
          </w:tcPr>
          <w:p>
            <w:r>
              <w:rPr>
                <w:b w:val="0"/>
                <w:sz w:val="16"/>
              </w:rPr>
              <w:t>$650</w:t>
            </w:r>
          </w:p>
        </w:tc>
        <w:tc>
          <w:tcPr>
            <w:tcW w:type="dxa" w:w="960"/>
          </w:tcPr>
          <w:p>
            <w:r>
              <w:rPr>
                <w:b w:val="0"/>
                <w:sz w:val="16"/>
              </w:rPr>
              <w:t>$195,000</w:t>
            </w:r>
          </w:p>
        </w:tc>
        <w:tc>
          <w:tcPr>
            <w:tcW w:type="dxa" w:w="960"/>
          </w:tcPr>
          <w:p>
            <w:r>
              <w:rPr>
                <w:b w:val="0"/>
                <w:sz w:val="16"/>
              </w:rPr>
              <w:t>$92,800</w:t>
            </w:r>
          </w:p>
        </w:tc>
        <w:tc>
          <w:tcPr>
            <w:tcW w:type="dxa" w:w="960"/>
          </w:tcPr>
          <w:p>
            <w:r>
              <w:rPr>
                <w:b w:val="0"/>
                <w:sz w:val="16"/>
              </w:rPr>
              <w:t>$27,293</w:t>
            </w:r>
          </w:p>
        </w:tc>
        <w:tc>
          <w:tcPr>
            <w:tcW w:type="dxa" w:w="960"/>
          </w:tcPr>
          <w:p>
            <w:r>
              <w:rPr>
                <w:b w:val="0"/>
                <w:sz w:val="16"/>
              </w:rPr>
              <w:t>3.40x</w:t>
            </w:r>
          </w:p>
        </w:tc>
        <w:tc>
          <w:tcPr>
            <w:tcW w:type="dxa" w:w="960"/>
          </w:tcPr>
          <w:p>
            <w:r>
              <w:rPr>
                <w:b w:val="0"/>
                <w:sz w:val="16"/>
              </w:rPr>
              <w:t>$246</w:t>
            </w:r>
          </w:p>
        </w:tc>
        <w:tc>
          <w:tcPr>
            <w:tcW w:type="dxa" w:w="960"/>
          </w:tcPr>
          <w:p>
            <w:r>
              <w:rPr>
                <w:b w:val="0"/>
                <w:sz w:val="16"/>
              </w:rPr>
              <w:t>2.24x</w:t>
            </w:r>
          </w:p>
        </w:tc>
      </w:tr>
      <w:tr>
        <w:tc>
          <w:tcPr>
            <w:tcW w:type="dxa" w:w="960"/>
          </w:tcPr>
          <w:p>
            <w:r>
              <w:rPr>
                <w:b w:val="0"/>
                <w:sz w:val="16"/>
              </w:rPr>
              <w:t>Cadillac Vistiq</w:t>
            </w:r>
          </w:p>
        </w:tc>
        <w:tc>
          <w:tcPr>
            <w:tcW w:type="dxa" w:w="960"/>
          </w:tcPr>
          <w:p>
            <w:r>
              <w:rPr>
                <w:b w:val="0"/>
                <w:sz w:val="16"/>
              </w:rPr>
              <w:t>$77,500</w:t>
            </w:r>
          </w:p>
        </w:tc>
        <w:tc>
          <w:tcPr>
            <w:tcW w:type="dxa" w:w="960"/>
          </w:tcPr>
          <w:p>
            <w:r>
              <w:rPr>
                <w:b w:val="0"/>
                <w:sz w:val="16"/>
              </w:rPr>
              <w:t>$450</w:t>
            </w:r>
          </w:p>
        </w:tc>
        <w:tc>
          <w:tcPr>
            <w:tcW w:type="dxa" w:w="960"/>
          </w:tcPr>
          <w:p>
            <w:r>
              <w:rPr>
                <w:b w:val="0"/>
                <w:sz w:val="16"/>
              </w:rPr>
              <w:t>$135,000</w:t>
            </w:r>
          </w:p>
        </w:tc>
        <w:tc>
          <w:tcPr>
            <w:tcW w:type="dxa" w:w="960"/>
          </w:tcPr>
          <w:p>
            <w:r>
              <w:rPr>
                <w:b w:val="0"/>
                <w:sz w:val="16"/>
              </w:rPr>
              <w:t>$60,400</w:t>
            </w:r>
          </w:p>
        </w:tc>
        <w:tc>
          <w:tcPr>
            <w:tcW w:type="dxa" w:w="960"/>
          </w:tcPr>
          <w:p>
            <w:r>
              <w:rPr>
                <w:b w:val="0"/>
                <w:sz w:val="16"/>
              </w:rPr>
              <w:t>$16,602</w:t>
            </w:r>
          </w:p>
        </w:tc>
        <w:tc>
          <w:tcPr>
            <w:tcW w:type="dxa" w:w="960"/>
          </w:tcPr>
          <w:p>
            <w:r>
              <w:rPr>
                <w:b w:val="0"/>
                <w:sz w:val="16"/>
              </w:rPr>
              <w:t>3.64x</w:t>
            </w:r>
          </w:p>
        </w:tc>
        <w:tc>
          <w:tcPr>
            <w:tcW w:type="dxa" w:w="960"/>
          </w:tcPr>
          <w:p>
            <w:r>
              <w:rPr>
                <w:b w:val="0"/>
                <w:sz w:val="16"/>
              </w:rPr>
              <w:t>$180</w:t>
            </w:r>
          </w:p>
        </w:tc>
        <w:tc>
          <w:tcPr>
            <w:tcW w:type="dxa" w:w="960"/>
          </w:tcPr>
          <w:p>
            <w:r>
              <w:rPr>
                <w:b w:val="0"/>
                <w:sz w:val="16"/>
              </w:rPr>
              <w:t>2.32x</w:t>
            </w:r>
          </w:p>
        </w:tc>
      </w:tr>
      <w:tr>
        <w:tc>
          <w:tcPr>
            <w:tcW w:type="dxa" w:w="960"/>
          </w:tcPr>
          <w:p>
            <w:r>
              <w:rPr>
                <w:b w:val="0"/>
                <w:sz w:val="16"/>
              </w:rPr>
              <w:t>Cadillac Lyriq</w:t>
            </w:r>
          </w:p>
        </w:tc>
        <w:tc>
          <w:tcPr>
            <w:tcW w:type="dxa" w:w="960"/>
          </w:tcPr>
          <w:p>
            <w:r>
              <w:rPr>
                <w:b w:val="0"/>
                <w:sz w:val="16"/>
              </w:rPr>
              <w:t>$59,400</w:t>
            </w:r>
          </w:p>
        </w:tc>
        <w:tc>
          <w:tcPr>
            <w:tcW w:type="dxa" w:w="960"/>
          </w:tcPr>
          <w:p>
            <w:r>
              <w:rPr>
                <w:b w:val="0"/>
                <w:sz w:val="16"/>
              </w:rPr>
              <w:t>$350</w:t>
            </w:r>
          </w:p>
        </w:tc>
        <w:tc>
          <w:tcPr>
            <w:tcW w:type="dxa" w:w="960"/>
          </w:tcPr>
          <w:p>
            <w:r>
              <w:rPr>
                <w:b w:val="0"/>
                <w:sz w:val="16"/>
              </w:rPr>
              <w:t>$105,000</w:t>
            </w:r>
          </w:p>
        </w:tc>
        <w:tc>
          <w:tcPr>
            <w:tcW w:type="dxa" w:w="960"/>
          </w:tcPr>
          <w:p>
            <w:r>
              <w:rPr>
                <w:b w:val="0"/>
                <w:sz w:val="16"/>
              </w:rPr>
              <w:t>$44,200</w:t>
            </w:r>
          </w:p>
        </w:tc>
        <w:tc>
          <w:tcPr>
            <w:tcW w:type="dxa" w:w="960"/>
          </w:tcPr>
          <w:p>
            <w:r>
              <w:rPr>
                <w:b w:val="0"/>
                <w:sz w:val="16"/>
              </w:rPr>
              <w:t>$12,725</w:t>
            </w:r>
          </w:p>
        </w:tc>
        <w:tc>
          <w:tcPr>
            <w:tcW w:type="dxa" w:w="960"/>
          </w:tcPr>
          <w:p>
            <w:r>
              <w:rPr>
                <w:b w:val="0"/>
                <w:sz w:val="16"/>
              </w:rPr>
              <w:t>3.47x</w:t>
            </w:r>
          </w:p>
        </w:tc>
        <w:tc>
          <w:tcPr>
            <w:tcW w:type="dxa" w:w="960"/>
          </w:tcPr>
          <w:p>
            <w:r>
              <w:rPr>
                <w:b w:val="0"/>
                <w:sz w:val="16"/>
              </w:rPr>
              <w:t>$156</w:t>
            </w:r>
          </w:p>
        </w:tc>
        <w:tc>
          <w:tcPr>
            <w:tcW w:type="dxa" w:w="960"/>
          </w:tcPr>
          <w:p>
            <w:r>
              <w:rPr>
                <w:b w:val="0"/>
                <w:sz w:val="16"/>
              </w:rPr>
              <w:t>2.14x</w:t>
            </w:r>
          </w:p>
        </w:tc>
      </w:tr>
      <w:tr>
        <w:tc>
          <w:tcPr>
            <w:tcW w:type="dxa" w:w="960"/>
          </w:tcPr>
          <w:p>
            <w:r>
              <w:rPr>
                <w:b w:val="0"/>
                <w:sz w:val="16"/>
              </w:rPr>
              <w:t>Tesla Model X (CPO)</w:t>
            </w:r>
          </w:p>
        </w:tc>
        <w:tc>
          <w:tcPr>
            <w:tcW w:type="dxa" w:w="960"/>
          </w:tcPr>
          <w:p>
            <w:r>
              <w:rPr>
                <w:b w:val="0"/>
                <w:sz w:val="16"/>
              </w:rPr>
              <w:t>$99,990</w:t>
            </w:r>
          </w:p>
        </w:tc>
        <w:tc>
          <w:tcPr>
            <w:tcW w:type="dxa" w:w="960"/>
          </w:tcPr>
          <w:p>
            <w:r>
              <w:rPr>
                <w:b w:val="0"/>
                <w:sz w:val="16"/>
              </w:rPr>
              <w:t>$450</w:t>
            </w:r>
          </w:p>
        </w:tc>
        <w:tc>
          <w:tcPr>
            <w:tcW w:type="dxa" w:w="960"/>
          </w:tcPr>
          <w:p>
            <w:r>
              <w:rPr>
                <w:b w:val="0"/>
                <w:sz w:val="16"/>
              </w:rPr>
              <w:t>$135,000</w:t>
            </w:r>
          </w:p>
        </w:tc>
        <w:tc>
          <w:tcPr>
            <w:tcW w:type="dxa" w:w="960"/>
          </w:tcPr>
          <w:p>
            <w:r>
              <w:rPr>
                <w:b w:val="0"/>
                <w:sz w:val="16"/>
              </w:rPr>
              <w:t>$60,400</w:t>
            </w:r>
          </w:p>
        </w:tc>
        <w:tc>
          <w:tcPr>
            <w:tcW w:type="dxa" w:w="960"/>
          </w:tcPr>
          <w:p>
            <w:r>
              <w:rPr>
                <w:b w:val="0"/>
                <w:sz w:val="16"/>
              </w:rPr>
              <w:t>$21,420</w:t>
            </w:r>
          </w:p>
        </w:tc>
        <w:tc>
          <w:tcPr>
            <w:tcW w:type="dxa" w:w="960"/>
          </w:tcPr>
          <w:p>
            <w:r>
              <w:rPr>
                <w:b w:val="0"/>
                <w:sz w:val="16"/>
              </w:rPr>
              <w:t>2.82x</w:t>
            </w:r>
          </w:p>
        </w:tc>
        <w:tc>
          <w:tcPr>
            <w:tcW w:type="dxa" w:w="960"/>
          </w:tcPr>
          <w:p>
            <w:r>
              <w:rPr>
                <w:b w:val="0"/>
                <w:sz w:val="16"/>
              </w:rPr>
              <w:t>$209</w:t>
            </w:r>
          </w:p>
        </w:tc>
        <w:tc>
          <w:tcPr>
            <w:tcW w:type="dxa" w:w="960"/>
          </w:tcPr>
          <w:p>
            <w:r>
              <w:rPr>
                <w:b w:val="0"/>
                <w:sz w:val="16"/>
              </w:rPr>
              <w:t>1.80x</w:t>
            </w:r>
          </w:p>
        </w:tc>
      </w:tr>
      <w:tr>
        <w:tc>
          <w:tcPr>
            <w:tcW w:type="dxa" w:w="960"/>
          </w:tcPr>
          <w:p>
            <w:r>
              <w:rPr>
                <w:b w:val="0"/>
                <w:sz w:val="16"/>
              </w:rPr>
              <w:t>Maybach EQS 680 SUV</w:t>
            </w:r>
          </w:p>
        </w:tc>
        <w:tc>
          <w:tcPr>
            <w:tcW w:type="dxa" w:w="960"/>
          </w:tcPr>
          <w:p>
            <w:r>
              <w:rPr>
                <w:b w:val="0"/>
                <w:sz w:val="16"/>
              </w:rPr>
              <w:t>$180,000</w:t>
            </w:r>
          </w:p>
        </w:tc>
        <w:tc>
          <w:tcPr>
            <w:tcW w:type="dxa" w:w="960"/>
          </w:tcPr>
          <w:p>
            <w:r>
              <w:rPr>
                <w:b w:val="0"/>
                <w:sz w:val="16"/>
              </w:rPr>
              <w:t>$750</w:t>
            </w:r>
          </w:p>
        </w:tc>
        <w:tc>
          <w:tcPr>
            <w:tcW w:type="dxa" w:w="960"/>
          </w:tcPr>
          <w:p>
            <w:r>
              <w:rPr>
                <w:b w:val="0"/>
                <w:sz w:val="16"/>
              </w:rPr>
              <w:t>$225,000</w:t>
            </w:r>
          </w:p>
        </w:tc>
        <w:tc>
          <w:tcPr>
            <w:tcW w:type="dxa" w:w="960"/>
          </w:tcPr>
          <w:p>
            <w:r>
              <w:rPr>
                <w:b w:val="0"/>
                <w:sz w:val="16"/>
              </w:rPr>
              <w:t>$109,000</w:t>
            </w:r>
          </w:p>
        </w:tc>
        <w:tc>
          <w:tcPr>
            <w:tcW w:type="dxa" w:w="960"/>
          </w:tcPr>
          <w:p>
            <w:r>
              <w:rPr>
                <w:b w:val="0"/>
                <w:sz w:val="16"/>
              </w:rPr>
              <w:t>$38,559</w:t>
            </w:r>
          </w:p>
        </w:tc>
        <w:tc>
          <w:tcPr>
            <w:tcW w:type="dxa" w:w="960"/>
          </w:tcPr>
          <w:p>
            <w:r>
              <w:rPr>
                <w:b w:val="0"/>
                <w:sz w:val="16"/>
              </w:rPr>
              <w:t>2.83x</w:t>
            </w:r>
          </w:p>
        </w:tc>
        <w:tc>
          <w:tcPr>
            <w:tcW w:type="dxa" w:w="960"/>
          </w:tcPr>
          <w:p>
            <w:r>
              <w:rPr>
                <w:b w:val="0"/>
                <w:sz w:val="16"/>
              </w:rPr>
              <w:t>$315</w:t>
            </w:r>
          </w:p>
        </w:tc>
        <w:tc>
          <w:tcPr>
            <w:tcW w:type="dxa" w:w="960"/>
          </w:tcPr>
          <w:p>
            <w:r>
              <w:rPr>
                <w:b w:val="0"/>
                <w:sz w:val="16"/>
              </w:rPr>
              <w:t>1.88x</w:t>
            </w:r>
          </w:p>
        </w:tc>
      </w:tr>
      <w:tr>
        <w:tc>
          <w:tcPr>
            <w:tcW w:type="dxa" w:w="960"/>
          </w:tcPr>
          <w:p>
            <w:r>
              <w:rPr>
                <w:b w:val="0"/>
                <w:sz w:val="16"/>
              </w:rPr>
              <w:t>Lucid Gravity</w:t>
            </w:r>
          </w:p>
        </w:tc>
        <w:tc>
          <w:tcPr>
            <w:tcW w:type="dxa" w:w="960"/>
          </w:tcPr>
          <w:p>
            <w:r>
              <w:rPr>
                <w:b w:val="0"/>
                <w:sz w:val="16"/>
              </w:rPr>
              <w:t>$98,900</w:t>
            </w:r>
          </w:p>
        </w:tc>
        <w:tc>
          <w:tcPr>
            <w:tcW w:type="dxa" w:w="960"/>
          </w:tcPr>
          <w:p>
            <w:r>
              <w:rPr>
                <w:b w:val="0"/>
                <w:sz w:val="16"/>
              </w:rPr>
              <w:t>$425</w:t>
            </w:r>
          </w:p>
        </w:tc>
        <w:tc>
          <w:tcPr>
            <w:tcW w:type="dxa" w:w="960"/>
          </w:tcPr>
          <w:p>
            <w:r>
              <w:rPr>
                <w:b w:val="0"/>
                <w:sz w:val="16"/>
              </w:rPr>
              <w:t>$127,500</w:t>
            </w:r>
          </w:p>
        </w:tc>
        <w:tc>
          <w:tcPr>
            <w:tcW w:type="dxa" w:w="960"/>
          </w:tcPr>
          <w:p>
            <w:r>
              <w:rPr>
                <w:b w:val="0"/>
                <w:sz w:val="16"/>
              </w:rPr>
              <w:t>$56,350</w:t>
            </w:r>
          </w:p>
        </w:tc>
        <w:tc>
          <w:tcPr>
            <w:tcW w:type="dxa" w:w="960"/>
          </w:tcPr>
          <w:p>
            <w:r>
              <w:rPr>
                <w:b w:val="0"/>
                <w:sz w:val="16"/>
              </w:rPr>
              <w:t>$21,186</w:t>
            </w:r>
          </w:p>
        </w:tc>
        <w:tc>
          <w:tcPr>
            <w:tcW w:type="dxa" w:w="960"/>
          </w:tcPr>
          <w:p>
            <w:r>
              <w:rPr>
                <w:b w:val="0"/>
                <w:sz w:val="16"/>
              </w:rPr>
              <w:t>2.66x</w:t>
            </w:r>
          </w:p>
        </w:tc>
        <w:tc>
          <w:tcPr>
            <w:tcW w:type="dxa" w:w="960"/>
          </w:tcPr>
          <w:p>
            <w:r>
              <w:rPr>
                <w:b w:val="0"/>
                <w:sz w:val="16"/>
              </w:rPr>
              <w:t>$208</w:t>
            </w:r>
          </w:p>
        </w:tc>
        <w:tc>
          <w:tcPr>
            <w:tcW w:type="dxa" w:w="960"/>
          </w:tcPr>
          <w:p>
            <w:r>
              <w:rPr>
                <w:b w:val="0"/>
                <w:sz w:val="16"/>
              </w:rPr>
              <w:t>1.68x</w:t>
            </w:r>
          </w:p>
        </w:tc>
      </w:tr>
      <w:tr>
        <w:tc>
          <w:tcPr>
            <w:tcW w:type="dxa" w:w="960"/>
          </w:tcPr>
          <w:p>
            <w:r>
              <w:rPr>
                <w:b w:val="0"/>
                <w:sz w:val="16"/>
              </w:rPr>
              <w:t>Rivian R1S</w:t>
            </w:r>
          </w:p>
        </w:tc>
        <w:tc>
          <w:tcPr>
            <w:tcW w:type="dxa" w:w="960"/>
          </w:tcPr>
          <w:p>
            <w:r>
              <w:rPr>
                <w:b w:val="0"/>
                <w:sz w:val="16"/>
              </w:rPr>
              <w:t>$83,990</w:t>
            </w:r>
          </w:p>
        </w:tc>
        <w:tc>
          <w:tcPr>
            <w:tcW w:type="dxa" w:w="960"/>
          </w:tcPr>
          <w:p>
            <w:r>
              <w:rPr>
                <w:b w:val="0"/>
                <w:sz w:val="16"/>
              </w:rPr>
              <w:t>$400</w:t>
            </w:r>
          </w:p>
        </w:tc>
        <w:tc>
          <w:tcPr>
            <w:tcW w:type="dxa" w:w="960"/>
          </w:tcPr>
          <w:p>
            <w:r>
              <w:rPr>
                <w:b w:val="0"/>
                <w:sz w:val="16"/>
              </w:rPr>
              <w:t>$120,000</w:t>
            </w:r>
          </w:p>
        </w:tc>
        <w:tc>
          <w:tcPr>
            <w:tcW w:type="dxa" w:w="960"/>
          </w:tcPr>
          <w:p>
            <w:r>
              <w:rPr>
                <w:b w:val="0"/>
                <w:sz w:val="16"/>
              </w:rPr>
              <w:t>$52,300</w:t>
            </w:r>
          </w:p>
        </w:tc>
        <w:tc>
          <w:tcPr>
            <w:tcW w:type="dxa" w:w="960"/>
          </w:tcPr>
          <w:p>
            <w:r>
              <w:rPr>
                <w:b w:val="0"/>
                <w:sz w:val="16"/>
              </w:rPr>
              <w:t>$17,992</w:t>
            </w:r>
          </w:p>
        </w:tc>
        <w:tc>
          <w:tcPr>
            <w:tcW w:type="dxa" w:w="960"/>
          </w:tcPr>
          <w:p>
            <w:r>
              <w:rPr>
                <w:b w:val="0"/>
                <w:sz w:val="16"/>
              </w:rPr>
              <w:t>2.91x</w:t>
            </w:r>
          </w:p>
        </w:tc>
        <w:tc>
          <w:tcPr>
            <w:tcW w:type="dxa" w:w="960"/>
          </w:tcPr>
          <w:p>
            <w:r>
              <w:rPr>
                <w:b w:val="0"/>
                <w:sz w:val="16"/>
              </w:rPr>
              <w:t>$188</w:t>
            </w:r>
          </w:p>
        </w:tc>
        <w:tc>
          <w:tcPr>
            <w:tcW w:type="dxa" w:w="960"/>
          </w:tcPr>
          <w:p>
            <w:r>
              <w:rPr>
                <w:b w:val="0"/>
                <w:sz w:val="16"/>
              </w:rPr>
              <w:t>1.83x</w:t>
            </w:r>
          </w:p>
        </w:tc>
      </w:tr>
      <w:tr>
        <w:tc>
          <w:tcPr>
            <w:tcW w:type="dxa" w:w="960"/>
          </w:tcPr>
          <w:p>
            <w:r>
              <w:rPr>
                <w:b w:val="0"/>
                <w:sz w:val="16"/>
              </w:rPr>
              <w:t>Mercedes EQS 550 SUV</w:t>
            </w:r>
          </w:p>
        </w:tc>
        <w:tc>
          <w:tcPr>
            <w:tcW w:type="dxa" w:w="960"/>
          </w:tcPr>
          <w:p>
            <w:r>
              <w:rPr>
                <w:b w:val="0"/>
                <w:sz w:val="16"/>
              </w:rPr>
              <w:t>$112,450</w:t>
            </w:r>
          </w:p>
        </w:tc>
        <w:tc>
          <w:tcPr>
            <w:tcW w:type="dxa" w:w="960"/>
          </w:tcPr>
          <w:p>
            <w:r>
              <w:rPr>
                <w:b w:val="0"/>
                <w:sz w:val="16"/>
              </w:rPr>
              <w:t>$500</w:t>
            </w:r>
          </w:p>
        </w:tc>
        <w:tc>
          <w:tcPr>
            <w:tcW w:type="dxa" w:w="960"/>
          </w:tcPr>
          <w:p>
            <w:r>
              <w:rPr>
                <w:b w:val="0"/>
                <w:sz w:val="16"/>
              </w:rPr>
              <w:t>$150,000</w:t>
            </w:r>
          </w:p>
        </w:tc>
        <w:tc>
          <w:tcPr>
            <w:tcW w:type="dxa" w:w="960"/>
          </w:tcPr>
          <w:p>
            <w:r>
              <w:rPr>
                <w:b w:val="0"/>
                <w:sz w:val="16"/>
              </w:rPr>
              <w:t>$68,500</w:t>
            </w:r>
          </w:p>
        </w:tc>
        <w:tc>
          <w:tcPr>
            <w:tcW w:type="dxa" w:w="960"/>
          </w:tcPr>
          <w:p>
            <w:r>
              <w:rPr>
                <w:b w:val="0"/>
                <w:sz w:val="16"/>
              </w:rPr>
              <w:t>$24,089</w:t>
            </w:r>
          </w:p>
        </w:tc>
        <w:tc>
          <w:tcPr>
            <w:tcW w:type="dxa" w:w="960"/>
          </w:tcPr>
          <w:p>
            <w:r>
              <w:rPr>
                <w:b w:val="0"/>
                <w:sz w:val="16"/>
              </w:rPr>
              <w:t>2.84x</w:t>
            </w:r>
          </w:p>
        </w:tc>
        <w:tc>
          <w:tcPr>
            <w:tcW w:type="dxa" w:w="960"/>
          </w:tcPr>
          <w:p>
            <w:r>
              <w:rPr>
                <w:b w:val="0"/>
                <w:sz w:val="16"/>
              </w:rPr>
              <w:t>$226</w:t>
            </w:r>
          </w:p>
        </w:tc>
        <w:tc>
          <w:tcPr>
            <w:tcW w:type="dxa" w:w="960"/>
          </w:tcPr>
          <w:p>
            <w:r>
              <w:rPr>
                <w:b w:val="0"/>
                <w:sz w:val="16"/>
              </w:rPr>
              <w:t>1.83x</w:t>
            </w:r>
          </w:p>
        </w:tc>
      </w:tr>
    </w:tbl>
    <w:p/>
    <w:p>
      <w:r>
        <w:t>Reading the table: every vehicle covers its own loan and insurance at well under its assumed day rate (see the break-even column), and still covers debt service with the day rate cut by 30%. The Cadillac Vistiq and Lyriq show the strongest coverage because their prices are lowest relative to the routes they serve. Model X is modeled at its last new list price as a conservative ceiling; certified pre-owned units will cost less.</w:t>
      </w:r>
    </w:p>
    <w:p>
      <w:pPr>
        <w:pStyle w:val="Heading1"/>
      </w:pPr>
      <w:r>
        <w:t>4. Recommended acquisition sequence</w:t>
      </w:r>
    </w:p>
    <w:p>
      <w:pPr>
        <w:pStyle w:val="ListBullet"/>
      </w:pPr>
      <w:r>
        <w:t>Phase A (first): 2 × Cadillac Vistiq + 1 × Cadillac Escalade IQ. Cash down $42,361; financed $240,044; modeled contribution $213,600/yr against $60,497/yr debt service (3.53x). Vistiq brings native NACS and seven seats at the best coverage; the Escalade IQ is the flagship lenders and sponsors recognize.</w:t>
      </w:r>
    </w:p>
    <w:p>
      <w:pPr>
        <w:pStyle w:val="ListBullet"/>
      </w:pPr>
      <w:r>
        <w:t>Phase B: Tesla Model X (CPO) as units appear, because it runs on the Tesla Fleet API already live in the dispatch console; Cadillac Lyriq for single-client corporate accounts.</w:t>
      </w:r>
    </w:p>
    <w:p>
      <w:pPr>
        <w:pStyle w:val="ListBullet"/>
      </w:pPr>
      <w:r>
        <w:t>Phase C: Mercedes-Maybach EQS 680 SUV only against a signed VIP, principal or sponsor contract that covers its payment.</w:t>
      </w:r>
    </w:p>
    <w:p>
      <w:pPr>
        <w:pStyle w:val="ListBullet"/>
      </w:pPr>
      <w:r>
        <w:t>Alternates: Lucid Gravity (longest range, native NACS) and Rivian R1S (7 seats, NACS) if Cadillac lead times or pricing slip.</w:t>
      </w:r>
    </w:p>
    <w:p>
      <w:pPr>
        <w:pStyle w:val="Heading1"/>
      </w:pPr>
      <w:r>
        <w:t>5. How the tier plugs into the rest of the system</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6"/>
              </w:rPr>
              <w:t>System</w:t>
            </w:r>
          </w:p>
        </w:tc>
        <w:tc>
          <w:tcPr>
            <w:tcW w:type="dxa" w:w="2880"/>
          </w:tcPr>
          <w:p>
            <w:r>
              <w:rPr>
                <w:b/>
                <w:sz w:val="16"/>
              </w:rPr>
              <w:t>How the SUV tier connects</w:t>
            </w:r>
          </w:p>
        </w:tc>
        <w:tc>
          <w:tcPr>
            <w:tcW w:type="dxa" w:w="2880"/>
          </w:tcPr>
          <w:p>
            <w:r>
              <w:rPr>
                <w:b/>
                <w:sz w:val="16"/>
              </w:rPr>
              <w:t>Status</w:t>
            </w:r>
          </w:p>
        </w:tc>
      </w:tr>
      <w:tr>
        <w:tc>
          <w:tcPr>
            <w:tcW w:type="dxa" w:w="2880"/>
          </w:tcPr>
          <w:p>
            <w:r>
              <w:rPr>
                <w:b w:val="0"/>
                <w:sz w:val="16"/>
              </w:rPr>
              <w:t>Norcross depot charging</w:t>
            </w:r>
          </w:p>
        </w:tc>
        <w:tc>
          <w:tcPr>
            <w:tcW w:type="dxa" w:w="2880"/>
          </w:tcPr>
          <w:p>
            <w:r>
              <w:rPr>
                <w:b w:val="0"/>
                <w:sz w:val="16"/>
              </w:rPr>
              <w:t>Native-NACS models (Vistiq, Lyriq, Model X, Gravity, R1S) use the planned Tesla stalls; CCS1 models (Escalade IQ, Maybach, EQS) use the 50 owned Tritium cabinets or a NACS adapter.</w:t>
            </w:r>
          </w:p>
        </w:tc>
        <w:tc>
          <w:tcPr>
            <w:tcW w:type="dxa" w:w="2880"/>
          </w:tcPr>
          <w:p>
            <w:r>
              <w:rPr>
                <w:b w:val="0"/>
                <w:sz w:val="16"/>
              </w:rPr>
              <w:t>Planned; no bays installed</w:t>
            </w:r>
          </w:p>
        </w:tc>
      </w:tr>
      <w:tr>
        <w:tc>
          <w:tcPr>
            <w:tcW w:type="dxa" w:w="2880"/>
          </w:tcPr>
          <w:p>
            <w:r>
              <w:rPr>
                <w:b w:val="0"/>
                <w:sz w:val="16"/>
              </w:rPr>
              <w:t>Tritium GRID sleeve</w:t>
            </w:r>
          </w:p>
        </w:tc>
        <w:tc>
          <w:tcPr>
            <w:tcW w:type="dxa" w:w="2880"/>
          </w:tcPr>
          <w:p>
            <w:r>
              <w:rPr>
                <w:b w:val="0"/>
                <w:sz w:val="16"/>
              </w:rPr>
              <w:t>Gives the CCS1 vehicles a charging home and puts owned inventory to work (Path C in the upgrade-paths memo).</w:t>
            </w:r>
          </w:p>
        </w:tc>
        <w:tc>
          <w:tcPr>
            <w:tcW w:type="dxa" w:w="2880"/>
          </w:tcPr>
          <w:p>
            <w:r>
              <w:rPr>
                <w:b w:val="0"/>
                <w:sz w:val="16"/>
              </w:rPr>
              <w:t>Chargers in TN warehouse</w:t>
            </w:r>
          </w:p>
        </w:tc>
      </w:tr>
      <w:tr>
        <w:tc>
          <w:tcPr>
            <w:tcW w:type="dxa" w:w="2880"/>
          </w:tcPr>
          <w:p>
            <w:r>
              <w:rPr>
                <w:b w:val="0"/>
                <w:sz w:val="16"/>
              </w:rPr>
              <w:t>Dispatch console / telemetry</w:t>
            </w:r>
          </w:p>
        </w:tc>
        <w:tc>
          <w:tcPr>
            <w:tcW w:type="dxa" w:w="2880"/>
          </w:tcPr>
          <w:p>
            <w:r>
              <w:rPr>
                <w:b w:val="0"/>
                <w:sz w:val="16"/>
              </w:rPr>
              <w:t>Tesla models connect through the Tesla Fleet API today. GM, Mercedes, Lucid and Rivian need OEM fleet telematics integrations.</w:t>
            </w:r>
          </w:p>
        </w:tc>
        <w:tc>
          <w:tcPr>
            <w:tcW w:type="dxa" w:w="2880"/>
          </w:tcPr>
          <w:p>
            <w:r>
              <w:rPr>
                <w:b w:val="0"/>
                <w:sz w:val="16"/>
              </w:rPr>
              <w:t>Tesla live; others planned</w:t>
            </w:r>
          </w:p>
        </w:tc>
      </w:tr>
      <w:tr>
        <w:tc>
          <w:tcPr>
            <w:tcW w:type="dxa" w:w="2880"/>
          </w:tcPr>
          <w:p>
            <w:r>
              <w:rPr>
                <w:b w:val="0"/>
                <w:sz w:val="16"/>
              </w:rPr>
              <w:t>Lender facilities</w:t>
            </w:r>
          </w:p>
        </w:tc>
        <w:tc>
          <w:tcPr>
            <w:tcW w:type="dxa" w:w="2880"/>
          </w:tcPr>
          <w:p>
            <w:r>
              <w:rPr>
                <w:b w:val="0"/>
                <w:sz w:val="16"/>
              </w:rPr>
              <w:t>Same EFA/TRAC structure as the Model Y tier: first title lien per vehicle, 15–20% down. Adds limousine-specialist lenders (see capital addendum).</w:t>
            </w:r>
          </w:p>
        </w:tc>
        <w:tc>
          <w:tcPr>
            <w:tcW w:type="dxa" w:w="2880"/>
          </w:tcPr>
          <w:p>
            <w:r>
              <w:rPr>
                <w:b w:val="0"/>
                <w:sz w:val="16"/>
              </w:rPr>
              <w:t>Outreach not started</w:t>
            </w:r>
          </w:p>
        </w:tc>
      </w:tr>
      <w:tr>
        <w:tc>
          <w:tcPr>
            <w:tcW w:type="dxa" w:w="2880"/>
          </w:tcPr>
          <w:p>
            <w:r>
              <w:rPr>
                <w:b w:val="0"/>
                <w:sz w:val="16"/>
              </w:rPr>
              <w:t>35 / 40 / 25 split</w:t>
            </w:r>
          </w:p>
        </w:tc>
        <w:tc>
          <w:tcPr>
            <w:tcW w:type="dxa" w:w="2880"/>
          </w:tcPr>
          <w:p>
            <w:r>
              <w:rPr>
                <w:b w:val="0"/>
                <w:sz w:val="16"/>
              </w:rPr>
              <w:t>SUV fares follow the same OPEX / debt &amp; expansion / treasury design as rides and chargers.</w:t>
            </w:r>
          </w:p>
        </w:tc>
        <w:tc>
          <w:tcPr>
            <w:tcW w:type="dxa" w:w="2880"/>
          </w:tcPr>
          <w:p>
            <w:r>
              <w:rPr>
                <w:b w:val="0"/>
                <w:sz w:val="16"/>
              </w:rPr>
              <w:t>Designed, not deployed</w:t>
            </w:r>
          </w:p>
        </w:tc>
      </w:tr>
      <w:tr>
        <w:tc>
          <w:tcPr>
            <w:tcW w:type="dxa" w:w="2880"/>
          </w:tcPr>
          <w:p>
            <w:r>
              <w:rPr>
                <w:b w:val="0"/>
                <w:sz w:val="16"/>
              </w:rPr>
              <w:t>$UBK FLEET sleeve</w:t>
            </w:r>
          </w:p>
        </w:tc>
        <w:tc>
          <w:tcPr>
            <w:tcW w:type="dxa" w:w="2880"/>
          </w:tcPr>
          <w:p>
            <w:r>
              <w:rPr>
                <w:b w:val="0"/>
                <w:sz w:val="16"/>
              </w:rPr>
              <w:t>Titled SUVs would sit in the FLEET collateral sleeve alongside Model Y and CyberCab, subject to counsel.</w:t>
            </w:r>
          </w:p>
        </w:tc>
        <w:tc>
          <w:tcPr>
            <w:tcW w:type="dxa" w:w="2880"/>
          </w:tcPr>
          <w:p>
            <w:r>
              <w:rPr>
                <w:b w:val="0"/>
                <w:sz w:val="16"/>
              </w:rPr>
              <w:t>In structuring</w:t>
            </w:r>
          </w:p>
        </w:tc>
      </w:tr>
      <w:tr>
        <w:tc>
          <w:tcPr>
            <w:tcW w:type="dxa" w:w="2880"/>
          </w:tcPr>
          <w:p>
            <w:r>
              <w:rPr>
                <w:b w:val="0"/>
                <w:sz w:val="16"/>
              </w:rPr>
              <w:t>BlackPass / $UBKR</w:t>
            </w:r>
          </w:p>
        </w:tc>
        <w:tc>
          <w:tcPr>
            <w:tcW w:type="dxa" w:w="2880"/>
          </w:tcPr>
          <w:p>
            <w:r>
              <w:rPr>
                <w:b w:val="0"/>
                <w:sz w:val="16"/>
              </w:rPr>
              <w:t>Obsidian VIP members get Maybach and Escalade IQ priority, which gives the loyalty tiers a tangible benefit.</w:t>
            </w:r>
          </w:p>
        </w:tc>
        <w:tc>
          <w:tcPr>
            <w:tcW w:type="dxa" w:w="2880"/>
          </w:tcPr>
          <w:p>
            <w:r>
              <w:rPr>
                <w:b w:val="0"/>
                <w:sz w:val="16"/>
              </w:rPr>
              <w:t>Designed</w:t>
            </w:r>
          </w:p>
        </w:tc>
      </w:tr>
      <w:tr>
        <w:tc>
          <w:tcPr>
            <w:tcW w:type="dxa" w:w="2880"/>
          </w:tcPr>
          <w:p>
            <w:r>
              <w:rPr>
                <w:b w:val="0"/>
                <w:sz w:val="16"/>
              </w:rPr>
              <w:t>Insurance</w:t>
            </w:r>
          </w:p>
        </w:tc>
        <w:tc>
          <w:tcPr>
            <w:tcW w:type="dxa" w:w="2880"/>
          </w:tcPr>
          <w:p>
            <w:r>
              <w:rPr>
                <w:b w:val="0"/>
                <w:sz w:val="16"/>
              </w:rPr>
              <w:t>Chauffeured vehicles price at the human-fleet rate, not the autonomous discount. Premiums for $100k+ vehicles need a specific quote.</w:t>
            </w:r>
          </w:p>
        </w:tc>
        <w:tc>
          <w:tcPr>
            <w:tcW w:type="dxa" w:w="2880"/>
          </w:tcPr>
          <w:p>
            <w:r>
              <w:rPr>
                <w:b w:val="0"/>
                <w:sz w:val="16"/>
              </w:rPr>
              <w:t>Quote needed</w:t>
            </w:r>
          </w:p>
        </w:tc>
      </w:tr>
    </w:tbl>
    <w:p/>
    <w:p>
      <w:pPr>
        <w:pStyle w:val="Heading1"/>
      </w:pPr>
      <w:r>
        <w:t>6. Items to confirm before purchase</w:t>
      </w:r>
    </w:p>
    <w:p>
      <w:pPr>
        <w:pStyle w:val="ListBullet"/>
      </w:pPr>
      <w:r>
        <w:t>Dealer quotes, destination fees and fleet incentives for each model (MSRPs above exclude destination).</w:t>
      </w:r>
    </w:p>
    <w:p>
      <w:pPr>
        <w:pStyle w:val="ListBullet"/>
      </w:pPr>
      <w:r>
        <w:t>Commercial auto insurance quotes for vehicles over $100,000, and Georgia DPS limousine carrier requirements.</w:t>
      </w:r>
    </w:p>
    <w:p>
      <w:pPr>
        <w:pStyle w:val="ListBullet"/>
      </w:pPr>
      <w:r>
        <w:t>GVWR from each door sticker if Section 179 treatment is intended (curb weight already exceeds 6,000 lb for Escalade IQ, Maybach and EQS). Tax treatment is for your CPA.</w:t>
      </w:r>
    </w:p>
    <w:p>
      <w:pPr>
        <w:pStyle w:val="ListBullet"/>
      </w:pPr>
      <w:r>
        <w:t>OEM fleet-telematics access for GM, Mercedes, Lucid and Rivian before non-Tesla vehicles join the dispatch console.</w:t>
      </w:r>
    </w:p>
    <w:p>
      <w:pPr>
        <w:pStyle w:val="ListBullet"/>
      </w:pPr>
      <w:r>
        <w:t>Market validation of day rates against Atlanta black-car and corporate account pricing.</w:t>
      </w:r>
    </w:p>
    <w:p>
      <w:pPr>
        <w:pStyle w:val="Heading1"/>
      </w:pPr>
      <w:r>
        <w:t>Sources</w:t>
      </w:r>
    </w:p>
    <w:p>
      <w:r>
        <w:rPr>
          <w:sz w:val="15"/>
        </w:rPr>
        <w:t>Cadillac Escalade IQ: https://www.cadillac.com/electric/escalade-iq · Cadillac Vistiq: https://www.cadillac.com/electric/vistiq · Cadillac Lyriq: https://www.cadillac.com/electric/lyriq · Tesla Model X (CPO): https://electrek.co/2026/04/01/tesla-model-s-x-production-over-only-inventory-left/ · Maybach EQS 680 SUV: https://www.mbusa.com/en/vehicles/model/eqs/suv/eqs680z4 · Lucid Gravity: https://lucidmotors.com/gravity · Rivian R1S: https://rivian.com/r1s · Mercedes EQS 550 SUV: https://www.mbusa.com/en/vehicles/model/eqs/suv/eqs550x4 · EPA ranges: fueleconomy.gov. · Vehicle photos on the website: Wikimedia Commons, credited per image.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