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UnyKorn Black: Business Plan</w:t>
      </w:r>
    </w:p>
    <w:p>
      <w:r>
        <w:rPr>
          <w:color w:val="A56B16"/>
          <w:sz w:val="18"/>
        </w:rPr>
        <w:t>Chauffeured-to-autonomous EV fleet · Central depot: 5655 Peachtree Pkwy, Norcross, GA 30092 · Revised 29 September 2026</w:t>
      </w:r>
    </w:p>
    <w:p>
      <w:r>
        <w:rPr>
          <w:i/>
          <w:color w:val="5A3D0A"/>
        </w:rPr>
        <w:t>STATUS AS OF THIS DATE: no vehicles are in service and operations have not begun. The depot site is secured, the dispatch console is built and running on sample data, UnyKorn is registered on the Tesla Fleet API, and UnyKorn LLC owns 50 Tritium DC fast chargers held in a Tennessee warehouse. All financial figures are models, not forecasts or results. Nothing in this plan is an offer of securities.</w:t>
      </w:r>
    </w:p>
    <w:p>
      <w:pPr>
        <w:pStyle w:val="Heading1"/>
      </w:pPr>
      <w:r>
        <w:t>1. Executive summary</w:t>
      </w:r>
    </w:p>
    <w:p>
      <w:r>
        <w:t>UnyKorn Black is a premium, all-electric ground-transport operator for metro Atlanta. It launches as a chauffeured executive and event fleet from a single depot in Norcross and is designed to hand its routes to autonomous vehicles as they become commercially available. It targets the work that public robotaxi networks do not serve: interstate and airport trips, perimeter and suburban corporate corridors, and high-value event and VIP movement.</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6"/>
              </w:rPr>
              <w:t>Measure</w:t>
            </w:r>
          </w:p>
        </w:tc>
        <w:tc>
          <w:tcPr>
            <w:tcW w:type="dxa" w:w="4320"/>
          </w:tcPr>
          <w:p>
            <w:r>
              <w:rPr>
                <w:b/>
                <w:sz w:val="16"/>
              </w:rPr>
              <w:t>Base case (modeled)</w:t>
            </w:r>
          </w:p>
        </w:tc>
      </w:tr>
      <w:tr>
        <w:tc>
          <w:tcPr>
            <w:tcW w:type="dxa" w:w="4320"/>
          </w:tcPr>
          <w:p>
            <w:r>
              <w:rPr>
                <w:b w:val="0"/>
                <w:sz w:val="16"/>
              </w:rPr>
              <w:t>Gross revenue, forward 12 months from first delivery</w:t>
            </w:r>
          </w:p>
        </w:tc>
        <w:tc>
          <w:tcPr>
            <w:tcW w:type="dxa" w:w="4320"/>
          </w:tcPr>
          <w:p>
            <w:r>
              <w:rPr>
                <w:b w:val="0"/>
                <w:sz w:val="16"/>
              </w:rPr>
              <w:t>$1,414,200</w:t>
            </w:r>
          </w:p>
        </w:tc>
      </w:tr>
      <w:tr>
        <w:tc>
          <w:tcPr>
            <w:tcW w:type="dxa" w:w="4320"/>
          </w:tcPr>
          <w:p>
            <w:r>
              <w:rPr>
                <w:b w:val="0"/>
                <w:sz w:val="16"/>
              </w:rPr>
              <w:t>Operating costs before debt</w:t>
            </w:r>
          </w:p>
        </w:tc>
        <w:tc>
          <w:tcPr>
            <w:tcW w:type="dxa" w:w="4320"/>
          </w:tcPr>
          <w:p>
            <w:r>
              <w:rPr>
                <w:b w:val="0"/>
                <w:sz w:val="16"/>
              </w:rPr>
              <w:t>$981,000</w:t>
            </w:r>
          </w:p>
        </w:tc>
      </w:tr>
      <w:tr>
        <w:tc>
          <w:tcPr>
            <w:tcW w:type="dxa" w:w="4320"/>
          </w:tcPr>
          <w:p>
            <w:r>
              <w:rPr>
                <w:b w:val="0"/>
                <w:sz w:val="16"/>
              </w:rPr>
              <w:t>EBITDA</w:t>
            </w:r>
          </w:p>
        </w:tc>
        <w:tc>
          <w:tcPr>
            <w:tcW w:type="dxa" w:w="4320"/>
          </w:tcPr>
          <w:p>
            <w:r>
              <w:rPr>
                <w:b w:val="0"/>
                <w:sz w:val="16"/>
              </w:rPr>
              <w:t>$433,200</w:t>
            </w:r>
          </w:p>
        </w:tc>
      </w:tr>
      <w:tr>
        <w:tc>
          <w:tcPr>
            <w:tcW w:type="dxa" w:w="4320"/>
          </w:tcPr>
          <w:p>
            <w:r>
              <w:rPr>
                <w:b w:val="0"/>
                <w:sz w:val="16"/>
              </w:rPr>
              <w:t>Launch facility requested</w:t>
            </w:r>
          </w:p>
        </w:tc>
        <w:tc>
          <w:tcPr>
            <w:tcW w:type="dxa" w:w="4320"/>
          </w:tcPr>
          <w:p>
            <w:r>
              <w:rPr>
                <w:b w:val="0"/>
                <w:sz w:val="16"/>
              </w:rPr>
              <w:t>$650,000</w:t>
            </w:r>
          </w:p>
        </w:tc>
      </w:tr>
      <w:tr>
        <w:tc>
          <w:tcPr>
            <w:tcW w:type="dxa" w:w="4320"/>
          </w:tcPr>
          <w:p>
            <w:r>
              <w:rPr>
                <w:b w:val="0"/>
                <w:sz w:val="16"/>
              </w:rPr>
              <w:t>Debt service coverage, interest-only period</w:t>
            </w:r>
          </w:p>
        </w:tc>
        <w:tc>
          <w:tcPr>
            <w:tcW w:type="dxa" w:w="4320"/>
          </w:tcPr>
          <w:p>
            <w:r>
              <w:rPr>
                <w:b w:val="0"/>
                <w:sz w:val="16"/>
              </w:rPr>
              <w:t>7.2x</w:t>
            </w:r>
          </w:p>
        </w:tc>
      </w:tr>
      <w:tr>
        <w:tc>
          <w:tcPr>
            <w:tcW w:type="dxa" w:w="4320"/>
          </w:tcPr>
          <w:p>
            <w:r>
              <w:rPr>
                <w:b w:val="0"/>
                <w:sz w:val="16"/>
              </w:rPr>
              <w:t>Debt service coverage, amortizing over ~60 months at ~9.2%</w:t>
            </w:r>
          </w:p>
        </w:tc>
        <w:tc>
          <w:tcPr>
            <w:tcW w:type="dxa" w:w="4320"/>
          </w:tcPr>
          <w:p>
            <w:r>
              <w:rPr>
                <w:b w:val="0"/>
                <w:sz w:val="16"/>
              </w:rPr>
              <w:t>2.7x</w:t>
            </w:r>
          </w:p>
        </w:tc>
      </w:tr>
      <w:tr>
        <w:tc>
          <w:tcPr>
            <w:tcW w:type="dxa" w:w="4320"/>
          </w:tcPr>
          <w:p>
            <w:r>
              <w:rPr>
                <w:b w:val="0"/>
                <w:sz w:val="16"/>
              </w:rPr>
              <w:t>Fleet at base case</w:t>
            </w:r>
          </w:p>
        </w:tc>
        <w:tc>
          <w:tcPr>
            <w:tcW w:type="dxa" w:w="4320"/>
          </w:tcPr>
          <w:p>
            <w:r>
              <w:rPr>
                <w:b w:val="0"/>
                <w:sz w:val="16"/>
              </w:rPr>
              <w:t>6 vehicles</w:t>
            </w:r>
          </w:p>
        </w:tc>
      </w:tr>
    </w:tbl>
    <w:p/>
    <w:p>
      <w:pPr>
        <w:pStyle w:val="Heading1"/>
      </w:pPr>
      <w:r>
        <w:t>2. Market: why Norcross, why now</w:t>
      </w:r>
    </w:p>
    <w:p>
      <w:pPr>
        <w:pStyle w:val="ListBullet"/>
      </w:pPr>
      <w:r>
        <w:t>Georgia law (SB 219, O.C.G.A. § 40-8-11) permits fully driverless operation statewide and bars cities from capping fleet size or creating local AV operating permits.</w:t>
      </w:r>
    </w:p>
    <w:p>
      <w:pPr>
        <w:pStyle w:val="ListBullet"/>
      </w:pPr>
      <w:r>
        <w:t>Waymo, via Uber, serves roughly 65 square miles intown. It avoids high-speed interstates and airport terminals, and perimeter corridors (Technology Park, Alpharetta, Norcross to Buckhead) still run on traditional transport.</w:t>
      </w:r>
    </w:p>
    <w:p>
      <w:pPr>
        <w:pStyle w:val="ListBullet"/>
      </w:pPr>
      <w:r>
        <w:t>The Norcross depot sits in that gap: Buckhead 14.2 mi, Midtown 17.8 mi, Mercedes-Benz Stadium 21.4 mi, Hartsfield-Jackson 31.1 mi.</w:t>
      </w:r>
    </w:p>
    <w:p>
      <w:pPr>
        <w:pStyle w:val="ListBullet"/>
      </w:pPr>
      <w:r>
        <w:t>Atlanta's 2026–2027 event calendar (World Cup window, SEC Championship, TOUR Championship, Dragon Con) concentrates premium demand.</w:t>
      </w:r>
    </w:p>
    <w:p>
      <w:pPr>
        <w:pStyle w:val="Heading1"/>
      </w:pPr>
      <w:r>
        <w:t>3. Fleet plan</w:t>
      </w:r>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Pr>
                <w:b/>
                <w:sz w:val="16"/>
              </w:rPr>
              <w:t>Tier</w:t>
            </w:r>
          </w:p>
        </w:tc>
        <w:tc>
          <w:tcPr>
            <w:tcW w:type="dxa" w:w="2160"/>
          </w:tcPr>
          <w:p>
            <w:r>
              <w:rPr>
                <w:b/>
                <w:sz w:val="16"/>
              </w:rPr>
              <w:t>Vehicle</w:t>
            </w:r>
          </w:p>
        </w:tc>
        <w:tc>
          <w:tcPr>
            <w:tcW w:type="dxa" w:w="2160"/>
          </w:tcPr>
          <w:p>
            <w:r>
              <w:rPr>
                <w:b/>
                <w:sz w:val="16"/>
              </w:rPr>
              <w:t>Role</w:t>
            </w:r>
          </w:p>
        </w:tc>
        <w:tc>
          <w:tcPr>
            <w:tcW w:type="dxa" w:w="2160"/>
          </w:tcPr>
          <w:p>
            <w:r>
              <w:rPr>
                <w:b/>
                <w:sz w:val="16"/>
              </w:rPr>
              <w:t>Status</w:t>
            </w:r>
          </w:p>
        </w:tc>
      </w:tr>
      <w:tr>
        <w:tc>
          <w:tcPr>
            <w:tcW w:type="dxa" w:w="2160"/>
          </w:tcPr>
          <w:p>
            <w:r>
              <w:rPr>
                <w:b w:val="0"/>
                <w:sz w:val="16"/>
              </w:rPr>
              <w:t>1 · Autonomous pod</w:t>
            </w:r>
          </w:p>
        </w:tc>
        <w:tc>
          <w:tcPr>
            <w:tcW w:type="dxa" w:w="2160"/>
          </w:tcPr>
          <w:p>
            <w:r>
              <w:rPr>
                <w:b w:val="0"/>
                <w:sz w:val="16"/>
              </w:rPr>
              <w:t>Tesla Cybercab</w:t>
            </w:r>
          </w:p>
        </w:tc>
        <w:tc>
          <w:tcPr>
            <w:tcW w:type="dxa" w:w="2160"/>
          </w:tcPr>
          <w:p>
            <w:r>
              <w:rPr>
                <w:b w:val="0"/>
                <w:sz w:val="16"/>
              </w:rPr>
              <w:t>Driverless corridor service</w:t>
            </w:r>
          </w:p>
        </w:tc>
        <w:tc>
          <w:tcPr>
            <w:tcW w:type="dxa" w:w="2160"/>
          </w:tcPr>
          <w:p>
            <w:r>
              <w:rPr>
                <w:b w:val="0"/>
                <w:sz w:val="16"/>
              </w:rPr>
              <w:t>Pending Tesla; fleet sales not open</w:t>
            </w:r>
          </w:p>
        </w:tc>
      </w:tr>
      <w:tr>
        <w:tc>
          <w:tcPr>
            <w:tcW w:type="dxa" w:w="2160"/>
          </w:tcPr>
          <w:p>
            <w:r>
              <w:rPr>
                <w:b w:val="0"/>
                <w:sz w:val="16"/>
              </w:rPr>
              <w:t>2 · Executive EV SUV</w:t>
            </w:r>
          </w:p>
        </w:tc>
        <w:tc>
          <w:tcPr>
            <w:tcW w:type="dxa" w:w="2160"/>
          </w:tcPr>
          <w:p>
            <w:r>
              <w:rPr>
                <w:b w:val="0"/>
                <w:sz w:val="16"/>
              </w:rPr>
              <w:t>Cadillac Escalade IQ / Vistiq / Lyriq; alternates Model X (CPO), Maybach EQS 680, Lucid Gravity, Rivian R1S, Mercedes EQS 550</w:t>
            </w:r>
          </w:p>
        </w:tc>
        <w:tc>
          <w:tcPr>
            <w:tcW w:type="dxa" w:w="2160"/>
          </w:tcPr>
          <w:p>
            <w:r>
              <w:rPr>
                <w:b w:val="0"/>
                <w:sz w:val="16"/>
              </w:rPr>
              <w:t>Airport, VIP, stadium, corporate</w:t>
            </w:r>
          </w:p>
        </w:tc>
        <w:tc>
          <w:tcPr>
            <w:tcW w:type="dxa" w:w="2160"/>
          </w:tcPr>
          <w:p>
            <w:r>
              <w:rPr>
                <w:b w:val="0"/>
                <w:sz w:val="16"/>
              </w:rPr>
              <w:t>Specs verified; Phase A proposed</w:t>
            </w:r>
          </w:p>
        </w:tc>
      </w:tr>
      <w:tr>
        <w:tc>
          <w:tcPr>
            <w:tcW w:type="dxa" w:w="2160"/>
          </w:tcPr>
          <w:p>
            <w:r>
              <w:rPr>
                <w:b w:val="0"/>
                <w:sz w:val="16"/>
              </w:rPr>
              <w:t>3 · Executive group van</w:t>
            </w:r>
          </w:p>
        </w:tc>
        <w:tc>
          <w:tcPr>
            <w:tcW w:type="dxa" w:w="2160"/>
          </w:tcPr>
          <w:p>
            <w:r>
              <w:rPr>
                <w:b w:val="0"/>
                <w:sz w:val="16"/>
              </w:rPr>
              <w:t>Premium EV group van (model to be specified)</w:t>
            </w:r>
          </w:p>
        </w:tc>
        <w:tc>
          <w:tcPr>
            <w:tcW w:type="dxa" w:w="2160"/>
          </w:tcPr>
          <w:p>
            <w:r>
              <w:rPr>
                <w:b w:val="0"/>
                <w:sz w:val="16"/>
              </w:rPr>
              <w:t>Delegations, hotel and event groups</w:t>
            </w:r>
          </w:p>
        </w:tc>
        <w:tc>
          <w:tcPr>
            <w:tcW w:type="dxa" w:w="2160"/>
          </w:tcPr>
          <w:p>
            <w:r>
              <w:rPr>
                <w:b w:val="0"/>
                <w:sz w:val="16"/>
              </w:rPr>
              <w:t>To be specified</w:t>
            </w:r>
          </w:p>
        </w:tc>
      </w:tr>
      <w:tr>
        <w:tc>
          <w:tcPr>
            <w:tcW w:type="dxa" w:w="2160"/>
          </w:tcPr>
          <w:p>
            <w:r>
              <w:rPr>
                <w:b w:val="0"/>
                <w:sz w:val="16"/>
              </w:rPr>
              <w:t>4 · Rapid transit CPO</w:t>
            </w:r>
          </w:p>
        </w:tc>
        <w:tc>
          <w:tcPr>
            <w:tcW w:type="dxa" w:w="2160"/>
          </w:tcPr>
          <w:p>
            <w:r>
              <w:rPr>
                <w:b w:val="0"/>
                <w:sz w:val="16"/>
              </w:rPr>
              <w:t>Tesla Model Y Long Range (certified pre-owned)</w:t>
            </w:r>
          </w:p>
        </w:tc>
        <w:tc>
          <w:tcPr>
            <w:tcW w:type="dxa" w:w="2160"/>
          </w:tcPr>
          <w:p>
            <w:r>
              <w:rPr>
                <w:b w:val="0"/>
                <w:sz w:val="16"/>
              </w:rPr>
              <w:t>Corporate and airport runs</w:t>
            </w:r>
          </w:p>
        </w:tc>
        <w:tc>
          <w:tcPr>
            <w:tcW w:type="dxa" w:w="2160"/>
          </w:tcPr>
          <w:p>
            <w:r>
              <w:rPr>
                <w:b w:val="0"/>
                <w:sz w:val="16"/>
              </w:rPr>
              <w:t>Georgia inventory identified</w:t>
            </w:r>
          </w:p>
        </w:tc>
      </w:tr>
    </w:tbl>
    <w:p/>
    <w:p>
      <w:r>
        <w:t>Tiers 2–4 are chauffeured. Hands-free driver-assist systems (Super Cruise, FSD Supervised) still require a supervising driver.</w:t>
      </w:r>
    </w:p>
    <w:p>
      <w:pPr>
        <w:pStyle w:val="Heading2"/>
      </w:pPr>
      <w:r>
        <w:t>Executive EV SUV tier (new in this revision)</w:t>
      </w:r>
    </w:p>
    <w:tbl>
      <w:tblPr>
        <w:tblStyle w:val="LightGrid-Accent1"/>
        <w:tblW w:type="auto" w:w="0"/>
        <w:jc w:val="center"/>
        <w:tblLook w:firstColumn="1" w:firstRow="1" w:lastColumn="0" w:lastRow="0" w:noHBand="0" w:noVBand="1" w:val="04A0"/>
      </w:tblPr>
      <w:tblGrid>
        <w:gridCol w:w="1440"/>
        <w:gridCol w:w="1440"/>
        <w:gridCol w:w="1440"/>
        <w:gridCol w:w="1440"/>
        <w:gridCol w:w="1440"/>
        <w:gridCol w:w="1440"/>
      </w:tblGrid>
      <w:tr>
        <w:tc>
          <w:tcPr>
            <w:tcW w:type="dxa" w:w="1440"/>
          </w:tcPr>
          <w:p>
            <w:r>
              <w:rPr>
                <w:b/>
                <w:sz w:val="16"/>
              </w:rPr>
              <w:t>Vehicle</w:t>
            </w:r>
          </w:p>
        </w:tc>
        <w:tc>
          <w:tcPr>
            <w:tcW w:type="dxa" w:w="1440"/>
          </w:tcPr>
          <w:p>
            <w:r>
              <w:rPr>
                <w:b/>
                <w:sz w:val="16"/>
              </w:rPr>
              <w:t>From (MSRP)</w:t>
            </w:r>
          </w:p>
        </w:tc>
        <w:tc>
          <w:tcPr>
            <w:tcW w:type="dxa" w:w="1440"/>
          </w:tcPr>
          <w:p>
            <w:r>
              <w:rPr>
                <w:b/>
                <w:sz w:val="16"/>
              </w:rPr>
              <w:t>Range</w:t>
            </w:r>
          </w:p>
        </w:tc>
        <w:tc>
          <w:tcPr>
            <w:tcW w:type="dxa" w:w="1440"/>
          </w:tcPr>
          <w:p>
            <w:r>
              <w:rPr>
                <w:b/>
                <w:sz w:val="16"/>
              </w:rPr>
              <w:t>Seats</w:t>
            </w:r>
          </w:p>
        </w:tc>
        <w:tc>
          <w:tcPr>
            <w:tcW w:type="dxa" w:w="1440"/>
          </w:tcPr>
          <w:p>
            <w:r>
              <w:rPr>
                <w:b/>
                <w:sz w:val="16"/>
              </w:rPr>
              <w:t>Charge port</w:t>
            </w:r>
          </w:p>
        </w:tc>
        <w:tc>
          <w:tcPr>
            <w:tcW w:type="dxa" w:w="1440"/>
          </w:tcPr>
          <w:p>
            <w:r>
              <w:rPr>
                <w:b/>
                <w:sz w:val="16"/>
              </w:rPr>
              <w:t>DSCR (modeled)</w:t>
            </w:r>
          </w:p>
        </w:tc>
      </w:tr>
      <w:tr>
        <w:tc>
          <w:tcPr>
            <w:tcW w:type="dxa" w:w="1440"/>
          </w:tcPr>
          <w:p>
            <w:r>
              <w:rPr>
                <w:b w:val="0"/>
                <w:sz w:val="16"/>
              </w:rPr>
              <w:t>Cadillac Escalade IQ</w:t>
            </w:r>
          </w:p>
        </w:tc>
        <w:tc>
          <w:tcPr>
            <w:tcW w:type="dxa" w:w="1440"/>
          </w:tcPr>
          <w:p>
            <w:r>
              <w:rPr>
                <w:b w:val="0"/>
                <w:sz w:val="16"/>
              </w:rPr>
              <w:t>$127,405</w:t>
            </w:r>
          </w:p>
        </w:tc>
        <w:tc>
          <w:tcPr>
            <w:tcW w:type="dxa" w:w="1440"/>
          </w:tcPr>
          <w:p>
            <w:r>
              <w:rPr>
                <w:b w:val="0"/>
                <w:sz w:val="16"/>
              </w:rPr>
              <w:t>465 mi (Cadillac est.)</w:t>
            </w:r>
          </w:p>
        </w:tc>
        <w:tc>
          <w:tcPr>
            <w:tcW w:type="dxa" w:w="1440"/>
          </w:tcPr>
          <w:p>
            <w:r>
              <w:rPr>
                <w:b w:val="0"/>
                <w:sz w:val="16"/>
              </w:rPr>
              <w:t>7</w:t>
            </w:r>
          </w:p>
        </w:tc>
        <w:tc>
          <w:tcPr>
            <w:tcW w:type="dxa" w:w="1440"/>
          </w:tcPr>
          <w:p>
            <w:r>
              <w:rPr>
                <w:b w:val="0"/>
                <w:sz w:val="16"/>
              </w:rPr>
              <w:t>CCS1 + NACS adapter</w:t>
            </w:r>
          </w:p>
        </w:tc>
        <w:tc>
          <w:tcPr>
            <w:tcW w:type="dxa" w:w="1440"/>
          </w:tcPr>
          <w:p>
            <w:r>
              <w:rPr>
                <w:b w:val="0"/>
                <w:sz w:val="16"/>
              </w:rPr>
              <w:t>3.40x</w:t>
            </w:r>
          </w:p>
        </w:tc>
      </w:tr>
      <w:tr>
        <w:tc>
          <w:tcPr>
            <w:tcW w:type="dxa" w:w="1440"/>
          </w:tcPr>
          <w:p>
            <w:r>
              <w:rPr>
                <w:b w:val="0"/>
                <w:sz w:val="16"/>
              </w:rPr>
              <w:t>Cadillac Vistiq</w:t>
            </w:r>
          </w:p>
        </w:tc>
        <w:tc>
          <w:tcPr>
            <w:tcW w:type="dxa" w:w="1440"/>
          </w:tcPr>
          <w:p>
            <w:r>
              <w:rPr>
                <w:b w:val="0"/>
                <w:sz w:val="16"/>
              </w:rPr>
              <w:t>$77,500</w:t>
            </w:r>
          </w:p>
        </w:tc>
        <w:tc>
          <w:tcPr>
            <w:tcW w:type="dxa" w:w="1440"/>
          </w:tcPr>
          <w:p>
            <w:r>
              <w:rPr>
                <w:b w:val="0"/>
                <w:sz w:val="16"/>
              </w:rPr>
              <w:t>305 mi EPA</w:t>
            </w:r>
          </w:p>
        </w:tc>
        <w:tc>
          <w:tcPr>
            <w:tcW w:type="dxa" w:w="1440"/>
          </w:tcPr>
          <w:p>
            <w:r>
              <w:rPr>
                <w:b w:val="0"/>
                <w:sz w:val="16"/>
              </w:rPr>
              <w:t>7 (6 w/ captain's chairs)</w:t>
            </w:r>
          </w:p>
        </w:tc>
        <w:tc>
          <w:tcPr>
            <w:tcW w:type="dxa" w:w="1440"/>
          </w:tcPr>
          <w:p>
            <w:r>
              <w:rPr>
                <w:b w:val="0"/>
                <w:sz w:val="16"/>
              </w:rPr>
              <w:t>NACS native</w:t>
            </w:r>
          </w:p>
        </w:tc>
        <w:tc>
          <w:tcPr>
            <w:tcW w:type="dxa" w:w="1440"/>
          </w:tcPr>
          <w:p>
            <w:r>
              <w:rPr>
                <w:b w:val="0"/>
                <w:sz w:val="16"/>
              </w:rPr>
              <w:t>3.64x</w:t>
            </w:r>
          </w:p>
        </w:tc>
      </w:tr>
      <w:tr>
        <w:tc>
          <w:tcPr>
            <w:tcW w:type="dxa" w:w="1440"/>
          </w:tcPr>
          <w:p>
            <w:r>
              <w:rPr>
                <w:b w:val="0"/>
                <w:sz w:val="16"/>
              </w:rPr>
              <w:t>Cadillac Lyriq</w:t>
            </w:r>
          </w:p>
        </w:tc>
        <w:tc>
          <w:tcPr>
            <w:tcW w:type="dxa" w:w="1440"/>
          </w:tcPr>
          <w:p>
            <w:r>
              <w:rPr>
                <w:b w:val="0"/>
                <w:sz w:val="16"/>
              </w:rPr>
              <w:t>$59,400</w:t>
            </w:r>
          </w:p>
        </w:tc>
        <w:tc>
          <w:tcPr>
            <w:tcW w:type="dxa" w:w="1440"/>
          </w:tcPr>
          <w:p>
            <w:r>
              <w:rPr>
                <w:b w:val="0"/>
                <w:sz w:val="16"/>
              </w:rPr>
              <w:t>326 mi EPA (RWD) / 319 (AWD)</w:t>
            </w:r>
          </w:p>
        </w:tc>
        <w:tc>
          <w:tcPr>
            <w:tcW w:type="dxa" w:w="1440"/>
          </w:tcPr>
          <w:p>
            <w:r>
              <w:rPr>
                <w:b w:val="0"/>
                <w:sz w:val="16"/>
              </w:rPr>
              <w:t>5</w:t>
            </w:r>
          </w:p>
        </w:tc>
        <w:tc>
          <w:tcPr>
            <w:tcW w:type="dxa" w:w="1440"/>
          </w:tcPr>
          <w:p>
            <w:r>
              <w:rPr>
                <w:b w:val="0"/>
                <w:sz w:val="16"/>
              </w:rPr>
              <w:t>NACS native (2027)</w:t>
            </w:r>
          </w:p>
        </w:tc>
        <w:tc>
          <w:tcPr>
            <w:tcW w:type="dxa" w:w="1440"/>
          </w:tcPr>
          <w:p>
            <w:r>
              <w:rPr>
                <w:b w:val="0"/>
                <w:sz w:val="16"/>
              </w:rPr>
              <w:t>3.47x</w:t>
            </w:r>
          </w:p>
        </w:tc>
      </w:tr>
      <w:tr>
        <w:tc>
          <w:tcPr>
            <w:tcW w:type="dxa" w:w="1440"/>
          </w:tcPr>
          <w:p>
            <w:r>
              <w:rPr>
                <w:b w:val="0"/>
                <w:sz w:val="16"/>
              </w:rPr>
              <w:t>Tesla Model X (CPO)</w:t>
            </w:r>
          </w:p>
        </w:tc>
        <w:tc>
          <w:tcPr>
            <w:tcW w:type="dxa" w:w="1440"/>
          </w:tcPr>
          <w:p>
            <w:r>
              <w:rPr>
                <w:b w:val="0"/>
                <w:sz w:val="16"/>
              </w:rPr>
              <w:t>CPO market; last new list ~$99,990</w:t>
            </w:r>
          </w:p>
        </w:tc>
        <w:tc>
          <w:tcPr>
            <w:tcW w:type="dxa" w:w="1440"/>
          </w:tcPr>
          <w:p>
            <w:r>
              <w:rPr>
                <w:b w:val="0"/>
                <w:sz w:val="16"/>
              </w:rPr>
              <w:t>352 mi EPA (AWD) / 335 (Plaid)</w:t>
            </w:r>
          </w:p>
        </w:tc>
        <w:tc>
          <w:tcPr>
            <w:tcW w:type="dxa" w:w="1440"/>
          </w:tcPr>
          <w:p>
            <w:r>
              <w:rPr>
                <w:b w:val="0"/>
                <w:sz w:val="16"/>
              </w:rPr>
              <w:t>5, 6 or 7</w:t>
            </w:r>
          </w:p>
        </w:tc>
        <w:tc>
          <w:tcPr>
            <w:tcW w:type="dxa" w:w="1440"/>
          </w:tcPr>
          <w:p>
            <w:r>
              <w:rPr>
                <w:b w:val="0"/>
                <w:sz w:val="16"/>
              </w:rPr>
              <w:t>NACS native</w:t>
            </w:r>
          </w:p>
        </w:tc>
        <w:tc>
          <w:tcPr>
            <w:tcW w:type="dxa" w:w="1440"/>
          </w:tcPr>
          <w:p>
            <w:r>
              <w:rPr>
                <w:b w:val="0"/>
                <w:sz w:val="16"/>
              </w:rPr>
              <w:t>2.82x</w:t>
            </w:r>
          </w:p>
        </w:tc>
      </w:tr>
      <w:tr>
        <w:tc>
          <w:tcPr>
            <w:tcW w:type="dxa" w:w="1440"/>
          </w:tcPr>
          <w:p>
            <w:r>
              <w:rPr>
                <w:b w:val="0"/>
                <w:sz w:val="16"/>
              </w:rPr>
              <w:t>Maybach EQS 680 SUV</w:t>
            </w:r>
          </w:p>
        </w:tc>
        <w:tc>
          <w:tcPr>
            <w:tcW w:type="dxa" w:w="1440"/>
          </w:tcPr>
          <w:p>
            <w:r>
              <w:rPr>
                <w:b w:val="0"/>
                <w:sz w:val="16"/>
              </w:rPr>
              <w:t>$180,000</w:t>
            </w:r>
          </w:p>
        </w:tc>
        <w:tc>
          <w:tcPr>
            <w:tcW w:type="dxa" w:w="1440"/>
          </w:tcPr>
          <w:p>
            <w:r>
              <w:rPr>
                <w:b w:val="0"/>
                <w:sz w:val="16"/>
              </w:rPr>
              <w:t>300 mi EPA</w:t>
            </w:r>
          </w:p>
        </w:tc>
        <w:tc>
          <w:tcPr>
            <w:tcW w:type="dxa" w:w="1440"/>
          </w:tcPr>
          <w:p>
            <w:r>
              <w:rPr>
                <w:b w:val="0"/>
                <w:sz w:val="16"/>
              </w:rPr>
              <w:t>5 (4 w/ Executive Rear Seat pkg)</w:t>
            </w:r>
          </w:p>
        </w:tc>
        <w:tc>
          <w:tcPr>
            <w:tcW w:type="dxa" w:w="1440"/>
          </w:tcPr>
          <w:p>
            <w:r>
              <w:rPr>
                <w:b w:val="0"/>
                <w:sz w:val="16"/>
              </w:rPr>
              <w:t>CCS1 + NACS adapter</w:t>
            </w:r>
          </w:p>
        </w:tc>
        <w:tc>
          <w:tcPr>
            <w:tcW w:type="dxa" w:w="1440"/>
          </w:tcPr>
          <w:p>
            <w:r>
              <w:rPr>
                <w:b w:val="0"/>
                <w:sz w:val="16"/>
              </w:rPr>
              <w:t>2.83x</w:t>
            </w:r>
          </w:p>
        </w:tc>
      </w:tr>
      <w:tr>
        <w:tc>
          <w:tcPr>
            <w:tcW w:type="dxa" w:w="1440"/>
          </w:tcPr>
          <w:p>
            <w:r>
              <w:rPr>
                <w:b w:val="0"/>
                <w:sz w:val="16"/>
              </w:rPr>
              <w:t>Lucid Gravity</w:t>
            </w:r>
          </w:p>
        </w:tc>
        <w:tc>
          <w:tcPr>
            <w:tcW w:type="dxa" w:w="1440"/>
          </w:tcPr>
          <w:p>
            <w:r>
              <w:rPr>
                <w:b w:val="0"/>
                <w:sz w:val="16"/>
              </w:rPr>
              <w:t>From $79,900 (Touring); $98,900 (Grand Touring)</w:t>
            </w:r>
          </w:p>
        </w:tc>
        <w:tc>
          <w:tcPr>
            <w:tcW w:type="dxa" w:w="1440"/>
          </w:tcPr>
          <w:p>
            <w:r>
              <w:rPr>
                <w:b w:val="0"/>
                <w:sz w:val="16"/>
              </w:rPr>
              <w:t>337 mi (Touring) to 450 mi (Grand Touring) EPA</w:t>
            </w:r>
          </w:p>
        </w:tc>
        <w:tc>
          <w:tcPr>
            <w:tcW w:type="dxa" w:w="1440"/>
          </w:tcPr>
          <w:p>
            <w:r>
              <w:rPr>
                <w:b w:val="0"/>
                <w:sz w:val="16"/>
              </w:rPr>
              <w:t>5 std, 7 optional</w:t>
            </w:r>
          </w:p>
        </w:tc>
        <w:tc>
          <w:tcPr>
            <w:tcW w:type="dxa" w:w="1440"/>
          </w:tcPr>
          <w:p>
            <w:r>
              <w:rPr>
                <w:b w:val="0"/>
                <w:sz w:val="16"/>
              </w:rPr>
              <w:t>NACS native</w:t>
            </w:r>
          </w:p>
        </w:tc>
        <w:tc>
          <w:tcPr>
            <w:tcW w:type="dxa" w:w="1440"/>
          </w:tcPr>
          <w:p>
            <w:r>
              <w:rPr>
                <w:b w:val="0"/>
                <w:sz w:val="16"/>
              </w:rPr>
              <w:t>2.66x</w:t>
            </w:r>
          </w:p>
        </w:tc>
      </w:tr>
      <w:tr>
        <w:tc>
          <w:tcPr>
            <w:tcW w:type="dxa" w:w="1440"/>
          </w:tcPr>
          <w:p>
            <w:r>
              <w:rPr>
                <w:b w:val="0"/>
                <w:sz w:val="16"/>
              </w:rPr>
              <w:t>Rivian R1S</w:t>
            </w:r>
          </w:p>
        </w:tc>
        <w:tc>
          <w:tcPr>
            <w:tcW w:type="dxa" w:w="1440"/>
          </w:tcPr>
          <w:p>
            <w:r>
              <w:rPr>
                <w:b w:val="0"/>
                <w:sz w:val="16"/>
              </w:rPr>
              <w:t>$83,990</w:t>
            </w:r>
          </w:p>
        </w:tc>
        <w:tc>
          <w:tcPr>
            <w:tcW w:type="dxa" w:w="1440"/>
          </w:tcPr>
          <w:p>
            <w:r>
              <w:rPr>
                <w:b w:val="0"/>
                <w:sz w:val="16"/>
              </w:rPr>
              <w:t>300 to 410 mi EPA (by battery/wheels)</w:t>
            </w:r>
          </w:p>
        </w:tc>
        <w:tc>
          <w:tcPr>
            <w:tcW w:type="dxa" w:w="1440"/>
          </w:tcPr>
          <w:p>
            <w:r>
              <w:rPr>
                <w:b w:val="0"/>
                <w:sz w:val="16"/>
              </w:rPr>
              <w:t>7 (6 w/ captain's chairs)</w:t>
            </w:r>
          </w:p>
        </w:tc>
        <w:tc>
          <w:tcPr>
            <w:tcW w:type="dxa" w:w="1440"/>
          </w:tcPr>
          <w:p>
            <w:r>
              <w:rPr>
                <w:b w:val="0"/>
                <w:sz w:val="16"/>
              </w:rPr>
              <w:t>NACS port (MY2026+)</w:t>
            </w:r>
          </w:p>
        </w:tc>
        <w:tc>
          <w:tcPr>
            <w:tcW w:type="dxa" w:w="1440"/>
          </w:tcPr>
          <w:p>
            <w:r>
              <w:rPr>
                <w:b w:val="0"/>
                <w:sz w:val="16"/>
              </w:rPr>
              <w:t>2.91x</w:t>
            </w:r>
          </w:p>
        </w:tc>
      </w:tr>
      <w:tr>
        <w:tc>
          <w:tcPr>
            <w:tcW w:type="dxa" w:w="1440"/>
          </w:tcPr>
          <w:p>
            <w:r>
              <w:rPr>
                <w:b w:val="0"/>
                <w:sz w:val="16"/>
              </w:rPr>
              <w:t>Mercedes EQS 550 SUV</w:t>
            </w:r>
          </w:p>
        </w:tc>
        <w:tc>
          <w:tcPr>
            <w:tcW w:type="dxa" w:w="1440"/>
          </w:tcPr>
          <w:p>
            <w:r>
              <w:rPr>
                <w:b w:val="0"/>
                <w:sz w:val="16"/>
              </w:rPr>
              <w:t>$112,450 (EQS 400 from $89,950)</w:t>
            </w:r>
          </w:p>
        </w:tc>
        <w:tc>
          <w:tcPr>
            <w:tcW w:type="dxa" w:w="1440"/>
          </w:tcPr>
          <w:p>
            <w:r>
              <w:rPr>
                <w:b w:val="0"/>
                <w:sz w:val="16"/>
              </w:rPr>
              <w:t>317 mi EPA</w:t>
            </w:r>
          </w:p>
        </w:tc>
        <w:tc>
          <w:tcPr>
            <w:tcW w:type="dxa" w:w="1440"/>
          </w:tcPr>
          <w:p>
            <w:r>
              <w:rPr>
                <w:b w:val="0"/>
                <w:sz w:val="16"/>
              </w:rPr>
              <w:t>5 std, 7 optional</w:t>
            </w:r>
          </w:p>
        </w:tc>
        <w:tc>
          <w:tcPr>
            <w:tcW w:type="dxa" w:w="1440"/>
          </w:tcPr>
          <w:p>
            <w:r>
              <w:rPr>
                <w:b w:val="0"/>
                <w:sz w:val="16"/>
              </w:rPr>
              <w:t>CCS1 + NACS adapter</w:t>
            </w:r>
          </w:p>
        </w:tc>
        <w:tc>
          <w:tcPr>
            <w:tcW w:type="dxa" w:w="1440"/>
          </w:tcPr>
          <w:p>
            <w:r>
              <w:rPr>
                <w:b w:val="0"/>
                <w:sz w:val="16"/>
              </w:rPr>
              <w:t>2.84x</w:t>
            </w:r>
          </w:p>
        </w:tc>
      </w:tr>
    </w:tbl>
    <w:p/>
    <w:p>
      <w:r>
        <w:t>Recommended Phase A: two Cadillac Vistiq and one Cadillac Escalade IQ. Cash down $42,361, financed $240,044, modeled contribution $213,600 a year against $60,497 of debt service (3.53x). Per-vehicle assumptions, break-even day rates and stress tests are in the Executive EV SUV Tier Addendum. Specs checked against manufacturer sites and fueleconomy.gov on 29 September 2026; the Tesla Model X is out of production and sourced pre-owned.</w:t>
      </w:r>
    </w:p>
    <w:p>
      <w:pPr>
        <w:pStyle w:val="Heading1"/>
      </w:pPr>
      <w:r>
        <w:t>4. Depot and charging</w:t>
      </w:r>
    </w:p>
    <w:p>
      <w:pPr>
        <w:pStyle w:val="ListBullet"/>
      </w:pPr>
      <w:r>
        <w:t>Site: 5655 Peachtree Pkwy, Norcross (Gwinnett, Technology Park). Staging for 32 vehicles; 12 charging bays designed, none installed.</w:t>
      </w:r>
    </w:p>
    <w:p>
      <w:pPr>
        <w:pStyle w:val="ListBullet"/>
      </w:pPr>
      <w:r>
        <w:t>Owned inventory: 50 Tritium DC fast-charging cabinets (likely RTM75), book value $1.5M, independent appraisal pending, held in Tennessee.</w:t>
      </w:r>
    </w:p>
    <w:p>
      <w:pPr>
        <w:pStyle w:val="ListBullet"/>
      </w:pPr>
      <w:r>
        <w:t>Recommended path (C): Tesla stalls at Norcross for native-NACS vehicles; Tritium units as the GRID sleeve and for CCS1 vehicles (Escalade IQ, Maybach, EQS).</w:t>
      </w:r>
    </w:p>
    <w:p>
      <w:pPr>
        <w:pStyle w:val="ListBullet"/>
      </w:pPr>
      <w:r>
        <w:t>Tritium was acquired out of insolvency by Exicom in 2024. An Exicom warranty and support letter for these serials is required before lenders credit the book value.</w:t>
      </w:r>
    </w:p>
    <w:p>
      <w:pPr>
        <w:pStyle w:val="ListBullet"/>
      </w:pPr>
      <w:r>
        <w:t>Utility interconnect and pad work precede any charging revenue. Federal 30C credit status must be confirmed by tax counsel before it is modeled.</w:t>
      </w:r>
    </w:p>
    <w:p>
      <w:pPr>
        <w:pStyle w:val="Heading1"/>
      </w:pPr>
      <w:r>
        <w:t>5. Revenue model</w:t>
      </w:r>
    </w:p>
    <w:p>
      <w:pPr>
        <w:pStyle w:val="ListBullet"/>
      </w:pPr>
      <w:r>
        <w:t>Dispatched fares (corporate, airport, event), priced per trip or per day.</w:t>
      </w:r>
    </w:p>
    <w:p>
      <w:pPr>
        <w:pStyle w:val="ListBullet"/>
      </w:pPr>
      <w:r>
        <w:t>BlackPass prepaid ride credits and memberships.</w:t>
      </w:r>
    </w:p>
    <w:p>
      <w:pPr>
        <w:pStyle w:val="ListBullet"/>
      </w:pPr>
      <w:r>
        <w:t>Sponsor route rights and vehicle branding.</w:t>
      </w:r>
    </w:p>
    <w:p>
      <w:pPr>
        <w:pStyle w:val="ListBullet"/>
      </w:pPr>
      <w:r>
        <w:t>VIP and hotel/corporate account blocks.</w:t>
      </w:r>
    </w:p>
    <w:p>
      <w:pPr>
        <w:pStyle w:val="ListBullet"/>
      </w:pPr>
      <w:r>
        <w:t>Merchant referral activations.</w:t>
      </w:r>
    </w:p>
    <w:p>
      <w:pPr>
        <w:pStyle w:val="ListBullet"/>
      </w:pPr>
      <w:r>
        <w:t>Partner-fleet overflow during peak events, without committing capital.</w:t>
      </w:r>
    </w:p>
    <w:p>
      <w:pPr>
        <w:pStyle w:val="ListBullet"/>
      </w:pPr>
      <w:r>
        <w:t>Charging revenue from the Tritium GRID sleeve after interconnect.</w:t>
      </w:r>
    </w:p>
    <w:p>
      <w:r>
        <w:t>Operating cost basis (from the pro forma): driver pay 35% of fare, energy and maintenance 8%, platform 3%, fixed overhead $18,000 per month.</w:t>
      </w:r>
    </w:p>
    <w:p>
      <w:pPr>
        <w:pStyle w:val="Heading1"/>
      </w:pPr>
      <w:r>
        <w:t>6. Financing and debt coverage</w:t>
      </w:r>
    </w:p>
    <w:p>
      <w:r>
        <w:t>UnyKorn Black requests a $650,000 launch facility. Coverage depends on the loan structure, so both the interest-only and amortizing views are shown. The base case covers amortizing debt comfortably only with a longer term.</w:t>
      </w:r>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sz w:val="16"/>
              </w:rPr>
              <w:t>Loan structure on $650,000</w:t>
            </w:r>
          </w:p>
        </w:tc>
        <w:tc>
          <w:tcPr>
            <w:tcW w:type="dxa" w:w="2880"/>
          </w:tcPr>
          <w:p>
            <w:r>
              <w:rPr>
                <w:b/>
                <w:sz w:val="16"/>
              </w:rPr>
              <w:t>Annual debt service</w:t>
            </w:r>
          </w:p>
        </w:tc>
        <w:tc>
          <w:tcPr>
            <w:tcW w:type="dxa" w:w="2880"/>
          </w:tcPr>
          <w:p>
            <w:r>
              <w:rPr>
                <w:b/>
                <w:sz w:val="16"/>
              </w:rPr>
              <w:t>Base-case DSCR</w:t>
            </w:r>
          </w:p>
        </w:tc>
      </w:tr>
      <w:tr>
        <w:tc>
          <w:tcPr>
            <w:tcW w:type="dxa" w:w="2880"/>
          </w:tcPr>
          <w:p>
            <w:r>
              <w:rPr>
                <w:b w:val="0"/>
                <w:sz w:val="16"/>
              </w:rPr>
              <w:t>Interest-only period (~9.2%)</w:t>
            </w:r>
          </w:p>
        </w:tc>
        <w:tc>
          <w:tcPr>
            <w:tcW w:type="dxa" w:w="2880"/>
          </w:tcPr>
          <w:p>
            <w:r>
              <w:rPr>
                <w:b w:val="0"/>
                <w:sz w:val="16"/>
              </w:rPr>
              <w:t>$59,849</w:t>
            </w:r>
          </w:p>
        </w:tc>
        <w:tc>
          <w:tcPr>
            <w:tcW w:type="dxa" w:w="2880"/>
          </w:tcPr>
          <w:p>
            <w:r>
              <w:rPr>
                <w:b w:val="0"/>
                <w:sz w:val="16"/>
              </w:rPr>
              <w:t>7.2x</w:t>
            </w:r>
          </w:p>
        </w:tc>
      </w:tr>
      <w:tr>
        <w:tc>
          <w:tcPr>
            <w:tcW w:type="dxa" w:w="2880"/>
          </w:tcPr>
          <w:p>
            <w:r>
              <w:rPr>
                <w:b w:val="0"/>
                <w:sz w:val="16"/>
              </w:rPr>
              <w:t>Amortizing over ~60 months at ~9.2% (pro forma basis)</w:t>
            </w:r>
          </w:p>
        </w:tc>
        <w:tc>
          <w:tcPr>
            <w:tcW w:type="dxa" w:w="2880"/>
          </w:tcPr>
          <w:p>
            <w:r>
              <w:rPr>
                <w:b w:val="0"/>
                <w:sz w:val="16"/>
              </w:rPr>
              <w:t>$162,000</w:t>
            </w:r>
          </w:p>
        </w:tc>
        <w:tc>
          <w:tcPr>
            <w:tcW w:type="dxa" w:w="2880"/>
          </w:tcPr>
          <w:p>
            <w:r>
              <w:rPr>
                <w:b w:val="0"/>
                <w:sz w:val="16"/>
              </w:rPr>
              <w:t>2.7x</w:t>
            </w:r>
          </w:p>
        </w:tc>
      </w:tr>
      <w:tr>
        <w:tc>
          <w:tcPr>
            <w:tcW w:type="dxa" w:w="2880"/>
          </w:tcPr>
          <w:p>
            <w:r>
              <w:rPr>
                <w:b w:val="0"/>
                <w:sz w:val="16"/>
              </w:rPr>
              <w:t>Amortizing, 48 months at 10%</w:t>
            </w:r>
          </w:p>
        </w:tc>
        <w:tc>
          <w:tcPr>
            <w:tcW w:type="dxa" w:w="2880"/>
          </w:tcPr>
          <w:p>
            <w:r>
              <w:rPr>
                <w:b w:val="0"/>
                <w:sz w:val="16"/>
              </w:rPr>
              <w:t>$197,828</w:t>
            </w:r>
          </w:p>
        </w:tc>
        <w:tc>
          <w:tcPr>
            <w:tcW w:type="dxa" w:w="2880"/>
          </w:tcPr>
          <w:p>
            <w:r>
              <w:rPr>
                <w:b w:val="0"/>
                <w:sz w:val="16"/>
              </w:rPr>
              <w:t>2.2x</w:t>
            </w:r>
          </w:p>
        </w:tc>
      </w:tr>
      <w:tr>
        <w:tc>
          <w:tcPr>
            <w:tcW w:type="dxa" w:w="2880"/>
          </w:tcPr>
          <w:p>
            <w:r>
              <w:rPr>
                <w:b w:val="0"/>
                <w:sz w:val="16"/>
              </w:rPr>
              <w:t>Amortizing, 36 months at 10%</w:t>
            </w:r>
          </w:p>
        </w:tc>
        <w:tc>
          <w:tcPr>
            <w:tcW w:type="dxa" w:w="2880"/>
          </w:tcPr>
          <w:p>
            <w:r>
              <w:rPr>
                <w:b w:val="0"/>
                <w:sz w:val="16"/>
              </w:rPr>
              <w:t>$251,684</w:t>
            </w:r>
          </w:p>
        </w:tc>
        <w:tc>
          <w:tcPr>
            <w:tcW w:type="dxa" w:w="2880"/>
          </w:tcPr>
          <w:p>
            <w:r>
              <w:rPr>
                <w:b w:val="0"/>
                <w:sz w:val="16"/>
              </w:rPr>
              <w:t>1.7x</w:t>
            </w:r>
          </w:p>
        </w:tc>
      </w:tr>
      <w:tr>
        <w:tc>
          <w:tcPr>
            <w:tcW w:type="dxa" w:w="2880"/>
          </w:tcPr>
          <w:p>
            <w:r>
              <w:rPr>
                <w:b w:val="0"/>
                <w:sz w:val="16"/>
              </w:rPr>
              <w:t>Amortizing, 24 months at 10%</w:t>
            </w:r>
          </w:p>
        </w:tc>
        <w:tc>
          <w:tcPr>
            <w:tcW w:type="dxa" w:w="2880"/>
          </w:tcPr>
          <w:p>
            <w:r>
              <w:rPr>
                <w:b w:val="0"/>
                <w:sz w:val="16"/>
              </w:rPr>
              <w:t>$359,930</w:t>
            </w:r>
          </w:p>
        </w:tc>
        <w:tc>
          <w:tcPr>
            <w:tcW w:type="dxa" w:w="2880"/>
          </w:tcPr>
          <w:p>
            <w:r>
              <w:rPr>
                <w:b w:val="0"/>
                <w:sz w:val="16"/>
              </w:rPr>
              <w:t>1.2x</w:t>
            </w:r>
          </w:p>
        </w:tc>
      </w:tr>
    </w:tbl>
    <w:p/>
    <w:p>
      <w:r>
        <w:t>Recommendation: request a 48–60 month amortization (or an interest-only period followed by 60-month amortization). A 24-month term brings base-case coverage to about 1.2x, below the roughly 1.25x most commercial lenders require.</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6"/>
              </w:rPr>
              <w:t>Use of funds</w:t>
            </w:r>
          </w:p>
        </w:tc>
        <w:tc>
          <w:tcPr>
            <w:tcW w:type="dxa" w:w="4320"/>
          </w:tcPr>
          <w:p>
            <w:r>
              <w:rPr>
                <w:b/>
                <w:sz w:val="16"/>
              </w:rPr>
              <w:t>Amount</w:t>
            </w:r>
          </w:p>
        </w:tc>
      </w:tr>
      <w:tr>
        <w:tc>
          <w:tcPr>
            <w:tcW w:type="dxa" w:w="4320"/>
          </w:tcPr>
          <w:p>
            <w:r>
              <w:rPr>
                <w:b w:val="0"/>
                <w:sz w:val="16"/>
              </w:rPr>
              <w:t>Vehicle acquisition down payments</w:t>
            </w:r>
          </w:p>
        </w:tc>
        <w:tc>
          <w:tcPr>
            <w:tcW w:type="dxa" w:w="4320"/>
          </w:tcPr>
          <w:p>
            <w:r>
              <w:rPr>
                <w:b w:val="0"/>
                <w:sz w:val="16"/>
              </w:rPr>
              <w:t>$115,000</w:t>
            </w:r>
          </w:p>
        </w:tc>
      </w:tr>
      <w:tr>
        <w:tc>
          <w:tcPr>
            <w:tcW w:type="dxa" w:w="4320"/>
          </w:tcPr>
          <w:p>
            <w:r>
              <w:rPr>
                <w:b w:val="0"/>
                <w:sz w:val="16"/>
              </w:rPr>
              <w:t>Vehicle financing facility line</w:t>
            </w:r>
          </w:p>
        </w:tc>
        <w:tc>
          <w:tcPr>
            <w:tcW w:type="dxa" w:w="4320"/>
          </w:tcPr>
          <w:p>
            <w:r>
              <w:rPr>
                <w:b w:val="0"/>
                <w:sz w:val="16"/>
              </w:rPr>
              <w:t>$350,000</w:t>
            </w:r>
          </w:p>
        </w:tc>
      </w:tr>
      <w:tr>
        <w:tc>
          <w:tcPr>
            <w:tcW w:type="dxa" w:w="4320"/>
          </w:tcPr>
          <w:p>
            <w:r>
              <w:rPr>
                <w:b w:val="0"/>
                <w:sz w:val="16"/>
              </w:rPr>
              <w:t>Commercial fleet insurance reserve</w:t>
            </w:r>
          </w:p>
        </w:tc>
        <w:tc>
          <w:tcPr>
            <w:tcW w:type="dxa" w:w="4320"/>
          </w:tcPr>
          <w:p>
            <w:r>
              <w:rPr>
                <w:b w:val="0"/>
                <w:sz w:val="16"/>
              </w:rPr>
              <w:t>$45,000</w:t>
            </w:r>
          </w:p>
        </w:tc>
      </w:tr>
      <w:tr>
        <w:tc>
          <w:tcPr>
            <w:tcW w:type="dxa" w:w="4320"/>
          </w:tcPr>
          <w:p>
            <w:r>
              <w:rPr>
                <w:b w:val="0"/>
                <w:sz w:val="16"/>
              </w:rPr>
              <w:t>Dispatch and web buildout</w:t>
            </w:r>
          </w:p>
        </w:tc>
        <w:tc>
          <w:tcPr>
            <w:tcW w:type="dxa" w:w="4320"/>
          </w:tcPr>
          <w:p>
            <w:r>
              <w:rPr>
                <w:b w:val="0"/>
                <w:sz w:val="16"/>
              </w:rPr>
              <w:t>$35,000</w:t>
            </w:r>
          </w:p>
        </w:tc>
      </w:tr>
      <w:tr>
        <w:tc>
          <w:tcPr>
            <w:tcW w:type="dxa" w:w="4320"/>
          </w:tcPr>
          <w:p>
            <w:r>
              <w:rPr>
                <w:b w:val="0"/>
                <w:sz w:val="16"/>
              </w:rPr>
              <w:t>Licensing, regulatory, legal and entity setup</w:t>
            </w:r>
          </w:p>
        </w:tc>
        <w:tc>
          <w:tcPr>
            <w:tcW w:type="dxa" w:w="4320"/>
          </w:tcPr>
          <w:p>
            <w:r>
              <w:rPr>
                <w:b w:val="0"/>
                <w:sz w:val="16"/>
              </w:rPr>
              <w:t>$25,000</w:t>
            </w:r>
          </w:p>
        </w:tc>
      </w:tr>
      <w:tr>
        <w:tc>
          <w:tcPr>
            <w:tcW w:type="dxa" w:w="4320"/>
          </w:tcPr>
          <w:p>
            <w:r>
              <w:rPr>
                <w:b w:val="0"/>
                <w:sz w:val="16"/>
              </w:rPr>
              <w:t>Branding, QR codes, sponsor materials</w:t>
            </w:r>
          </w:p>
        </w:tc>
        <w:tc>
          <w:tcPr>
            <w:tcW w:type="dxa" w:w="4320"/>
          </w:tcPr>
          <w:p>
            <w:r>
              <w:rPr>
                <w:b w:val="0"/>
                <w:sz w:val="16"/>
              </w:rPr>
              <w:t>$20,000</w:t>
            </w:r>
          </w:p>
        </w:tc>
      </w:tr>
      <w:tr>
        <w:tc>
          <w:tcPr>
            <w:tcW w:type="dxa" w:w="4320"/>
          </w:tcPr>
          <w:p>
            <w:r>
              <w:rPr>
                <w:b w:val="0"/>
                <w:sz w:val="16"/>
              </w:rPr>
              <w:t>Working capital reserve</w:t>
            </w:r>
          </w:p>
        </w:tc>
        <w:tc>
          <w:tcPr>
            <w:tcW w:type="dxa" w:w="4320"/>
          </w:tcPr>
          <w:p>
            <w:r>
              <w:rPr>
                <w:b w:val="0"/>
                <w:sz w:val="16"/>
              </w:rPr>
              <w:t>$60,000</w:t>
            </w:r>
          </w:p>
        </w:tc>
      </w:tr>
      <w:tr>
        <w:tc>
          <w:tcPr>
            <w:tcW w:type="dxa" w:w="4320"/>
          </w:tcPr>
          <w:p>
            <w:r>
              <w:rPr>
                <w:b w:val="0"/>
                <w:sz w:val="16"/>
              </w:rPr>
              <w:t>Total</w:t>
            </w:r>
          </w:p>
        </w:tc>
        <w:tc>
          <w:tcPr>
            <w:tcW w:type="dxa" w:w="4320"/>
          </w:tcPr>
          <w:p>
            <w:r>
              <w:rPr>
                <w:b w:val="0"/>
                <w:sz w:val="16"/>
              </w:rPr>
              <w:t>$650,000</w:t>
            </w:r>
          </w:p>
        </w:tc>
      </w:tr>
    </w:tbl>
    <w:p/>
    <w:p>
      <w:pPr>
        <w:pStyle w:val="Heading2"/>
      </w:pPr>
      <w:r>
        <w:t>Realistic first-round lenders</w:t>
      </w:r>
    </w:p>
    <w:tbl>
      <w:tblPr>
        <w:tblStyle w:val="LightGrid-Accent1"/>
        <w:tblW w:type="auto" w:w="0"/>
        <w:jc w:val="center"/>
        <w:tblLook w:firstColumn="1" w:firstRow="1" w:lastColumn="0" w:lastRow="0" w:noHBand="0" w:noVBand="1" w:val="04A0"/>
      </w:tblPr>
      <w:tblGrid>
        <w:gridCol w:w="4320"/>
        <w:gridCol w:w="4320"/>
      </w:tblGrid>
      <w:tr>
        <w:tc>
          <w:tcPr>
            <w:tcW w:type="dxa" w:w="4320"/>
          </w:tcPr>
          <w:p>
            <w:r>
              <w:rPr>
                <w:b/>
                <w:sz w:val="16"/>
              </w:rPr>
              <w:t>Lender</w:t>
            </w:r>
          </w:p>
        </w:tc>
        <w:tc>
          <w:tcPr>
            <w:tcW w:type="dxa" w:w="4320"/>
          </w:tcPr>
          <w:p>
            <w:r>
              <w:rPr>
                <w:b/>
                <w:sz w:val="16"/>
              </w:rPr>
              <w:t>Fit</w:t>
            </w:r>
          </w:p>
        </w:tc>
      </w:tr>
      <w:tr>
        <w:tc>
          <w:tcPr>
            <w:tcW w:type="dxa" w:w="4320"/>
          </w:tcPr>
          <w:p>
            <w:r>
              <w:rPr>
                <w:b w:val="0"/>
                <w:sz w:val="16"/>
              </w:rPr>
              <w:t>Madison Capital</w:t>
            </w:r>
          </w:p>
        </w:tc>
        <w:tc>
          <w:tcPr>
            <w:tcW w:type="dxa" w:w="4320"/>
          </w:tcPr>
          <w:p>
            <w:r>
              <w:rPr>
                <w:b w:val="0"/>
                <w:sz w:val="16"/>
              </w:rPr>
              <w:t>Commercial vehicle leasing with a dedicated limousine financing program</w:t>
            </w:r>
          </w:p>
        </w:tc>
      </w:tr>
      <w:tr>
        <w:tc>
          <w:tcPr>
            <w:tcW w:type="dxa" w:w="4320"/>
          </w:tcPr>
          <w:p>
            <w:r>
              <w:rPr>
                <w:b w:val="0"/>
                <w:sz w:val="16"/>
              </w:rPr>
              <w:t>1st Source Bank - Fleet Financing</w:t>
            </w:r>
          </w:p>
        </w:tc>
        <w:tc>
          <w:tcPr>
            <w:tcW w:type="dxa" w:w="4320"/>
          </w:tcPr>
          <w:p>
            <w:r>
              <w:rPr>
                <w:b w:val="0"/>
                <w:sz w:val="16"/>
              </w:rPr>
              <w:t>Fleet financing incl. luxury/chauffeur fleets</w:t>
            </w:r>
          </w:p>
        </w:tc>
      </w:tr>
      <w:tr>
        <w:tc>
          <w:tcPr>
            <w:tcW w:type="dxa" w:w="4320"/>
          </w:tcPr>
          <w:p>
            <w:r>
              <w:rPr>
                <w:b w:val="0"/>
                <w:sz w:val="16"/>
              </w:rPr>
              <w:t>Merchants Fleet</w:t>
            </w:r>
          </w:p>
        </w:tc>
        <w:tc>
          <w:tcPr>
            <w:tcW w:type="dxa" w:w="4320"/>
          </w:tcPr>
          <w:p>
            <w:r>
              <w:rPr>
                <w:b w:val="0"/>
                <w:sz w:val="16"/>
              </w:rPr>
              <w:t>EV fleet leasing and charger financing (ClearCharge)</w:t>
            </w:r>
          </w:p>
        </w:tc>
      </w:tr>
      <w:tr>
        <w:tc>
          <w:tcPr>
            <w:tcW w:type="dxa" w:w="4320"/>
          </w:tcPr>
          <w:p>
            <w:r>
              <w:rPr>
                <w:b w:val="0"/>
                <w:sz w:val="16"/>
              </w:rPr>
              <w:t>Climate First Bank</w:t>
            </w:r>
          </w:p>
        </w:tc>
        <w:tc>
          <w:tcPr>
            <w:tcW w:type="dxa" w:w="4320"/>
          </w:tcPr>
          <w:p>
            <w:r>
              <w:rPr>
                <w:b w:val="0"/>
                <w:sz w:val="16"/>
              </w:rPr>
              <w:t>EV charging loans and SBA 7(a)/504</w:t>
            </w:r>
          </w:p>
        </w:tc>
      </w:tr>
      <w:tr>
        <w:tc>
          <w:tcPr>
            <w:tcW w:type="dxa" w:w="4320"/>
          </w:tcPr>
          <w:p>
            <w:r>
              <w:rPr>
                <w:b w:val="0"/>
                <w:sz w:val="16"/>
              </w:rPr>
              <w:t>North Mill Equipment Finance</w:t>
            </w:r>
          </w:p>
        </w:tc>
        <w:tc>
          <w:tcPr>
            <w:tcW w:type="dxa" w:w="4320"/>
          </w:tcPr>
          <w:p>
            <w:r>
              <w:rPr>
                <w:b w:val="0"/>
                <w:sz w:val="16"/>
              </w:rPr>
              <w:t>Small-ticket equipment/transport finance, broker-only</w:t>
            </w:r>
          </w:p>
        </w:tc>
      </w:tr>
      <w:tr>
        <w:tc>
          <w:tcPr>
            <w:tcW w:type="dxa" w:w="4320"/>
          </w:tcPr>
          <w:p>
            <w:r>
              <w:rPr>
                <w:b w:val="0"/>
                <w:sz w:val="16"/>
              </w:rPr>
              <w:t>Beacon Funding</w:t>
            </w:r>
          </w:p>
        </w:tc>
        <w:tc>
          <w:tcPr>
            <w:tcW w:type="dxa" w:w="4320"/>
          </w:tcPr>
          <w:p>
            <w:r>
              <w:rPr>
                <w:b w:val="0"/>
                <w:sz w:val="16"/>
              </w:rPr>
              <w:t>Small-ticket equipment finance, 24-84 mo terms</w:t>
            </w:r>
          </w:p>
        </w:tc>
      </w:tr>
      <w:tr>
        <w:tc>
          <w:tcPr>
            <w:tcW w:type="dxa" w:w="4320"/>
          </w:tcPr>
          <w:p>
            <w:r>
              <w:rPr>
                <w:b w:val="0"/>
                <w:sz w:val="16"/>
              </w:rPr>
              <w:t>Towne Livery (arranger)</w:t>
            </w:r>
          </w:p>
        </w:tc>
        <w:tc>
          <w:tcPr>
            <w:tcW w:type="dxa" w:w="4320"/>
          </w:tcPr>
          <w:p>
            <w:r>
              <w:rPr>
                <w:b w:val="0"/>
                <w:sz w:val="16"/>
              </w:rPr>
              <w:t>Broker placing chauffeured/livery fleet deals with specialist lenders</w:t>
            </w:r>
          </w:p>
        </w:tc>
      </w:tr>
    </w:tbl>
    <w:p/>
    <w:p>
      <w:r>
        <w:t>On-chain credit platforms and market makers (including Wintermute) are not lenders to an operator at this stage; see the Capital, Custody &amp; Market-Structure Addendum.</w:t>
      </w:r>
    </w:p>
    <w:p>
      <w:pPr>
        <w:pStyle w:val="Heading1"/>
      </w:pPr>
      <w:r>
        <w:t>7. Technology</w:t>
      </w:r>
    </w:p>
    <w:p>
      <w:pPr>
        <w:pStyle w:val="ListBullet"/>
      </w:pPr>
      <w:r>
        <w:t>Tesla Fleet API: registered third-party application; reads owner-authorized vehicle state, location and charge. Not a Tesla endorsement or partnership.</w:t>
      </w:r>
    </w:p>
    <w:p>
      <w:pPr>
        <w:pStyle w:val="ListBullet"/>
      </w:pPr>
      <w:r>
        <w:t>Dispatch and staging console: built and running on sample data.</w:t>
      </w:r>
    </w:p>
    <w:p>
      <w:pPr>
        <w:pStyle w:val="ListBullet"/>
      </w:pPr>
      <w:r>
        <w:t>Non-Tesla vehicles (GM, Mercedes, Lucid, Rivian) require OEM fleet-telematics integrations before joining dispatch.</w:t>
      </w:r>
    </w:p>
    <w:p>
      <w:pPr>
        <w:pStyle w:val="ListBullet"/>
      </w:pPr>
      <w:r>
        <w:t>35 / 40 / 25 revenue split (OPEX / debt &amp; expansion / treasury): a contract design, not deployed; distributions are not automated today.</w:t>
      </w:r>
    </w:p>
    <w:p>
      <w:pPr>
        <w:pStyle w:val="Heading1"/>
      </w:pPr>
      <w:r>
        <w:t>8. Tokenization and custody ($UBK, in structuring)</w:t>
      </w:r>
    </w:p>
    <w:p>
      <w:pPr>
        <w:pStyle w:val="ListBullet"/>
      </w:pPr>
      <w:r>
        <w:t>$UBK is designed as a transfer-restricted ERC-3643 token over three collateral sleeves: FLEET (titled vehicles, including the SUV tier), GRID (the 50 chargers) and DEPOT.</w:t>
      </w:r>
    </w:p>
    <w:p>
      <w:pPr>
        <w:pStyle w:val="ListBullet"/>
      </w:pPr>
      <w:r>
        <w:t>It is being structured with securities counsel. No token is sold and no terms are offered; investor materials go only to verified eligible investors.</w:t>
      </w:r>
    </w:p>
    <w:p>
      <w:pPr>
        <w:pStyle w:val="ListBullet"/>
      </w:pPr>
      <w:r>
        <w:t>Custody: Fireblocks is under evaluation (ERC-3643 via Tokeny T-REX, MPC wallets, NYDFS-chartered Fireblocks Trust Company as qualified custodian). Alternatives: BitGo, Anchorage Digital, Coinbase Custody. No custodian is appointed.</w:t>
      </w:r>
    </w:p>
    <w:p>
      <w:pPr>
        <w:pStyle w:val="ListBullet"/>
      </w:pPr>
      <w:r>
        <w:t>Chain: the current design names Base; UnyKorn's deployed contracts are on Polygon, and the T-REX ecosystem is building on Polygon. To be confirmed with counsel and custodian.</w:t>
      </w:r>
    </w:p>
    <w:p>
      <w:pPr>
        <w:pStyle w:val="ListBullet"/>
      </w:pPr>
      <w:r>
        <w:t>Market makers are relevant only after issuance on a regulated venue.</w:t>
      </w:r>
    </w:p>
    <w:p>
      <w:pPr>
        <w:pStyle w:val="Heading1"/>
      </w:pPr>
      <w:r>
        <w:t>9. Insurance and regulation</w:t>
      </w:r>
    </w:p>
    <w:p>
      <w:pPr>
        <w:pStyle w:val="ListBullet"/>
      </w:pPr>
      <w:r>
        <w:t>$5,000,000 combined single limit commercial auto liability: quoted, not bound.</w:t>
      </w:r>
    </w:p>
    <w:p>
      <w:pPr>
        <w:pStyle w:val="ListBullet"/>
      </w:pPr>
      <w:r>
        <w:t>Chauffeured tiers are modeled at human-fleet rates ($12,500/vehicle/year); vehicles above $100,000 need specific quotes. Any autonomous-rate discount applies only to driverless operation.</w:t>
      </w:r>
    </w:p>
    <w:p>
      <w:pPr>
        <w:pStyle w:val="ListBullet"/>
      </w:pPr>
      <w:r>
        <w:t>Chauffeured service requires Georgia DPS passenger-carrier authority and ATL ground-transportation permits for airport staging; SB 219 governs autonomous operation, not limousine authority.</w:t>
      </w:r>
    </w:p>
    <w:p>
      <w:pPr>
        <w:pStyle w:val="Heading1"/>
      </w:pPr>
      <w:r>
        <w:t>10. Milestones</w:t>
      </w:r>
    </w:p>
    <w:p>
      <w:pPr>
        <w:pStyle w:val="ListBullet"/>
      </w:pPr>
      <w:r>
        <w:t>Close the launch facility with a 48–60 month amortization.</w:t>
      </w:r>
    </w:p>
    <w:p>
      <w:pPr>
        <w:pStyle w:val="ListBullet"/>
      </w:pPr>
      <w:r>
        <w:t>Bind the commercial auto policy; obtain DPS carrier authority and ATL ground-transport permits.</w:t>
      </w:r>
    </w:p>
    <w:p>
      <w:pPr>
        <w:pStyle w:val="ListBullet"/>
      </w:pPr>
      <w:r>
        <w:t>Acquire Phase A (2 × Vistiq, 1 × Escalade IQ) and first CPO Model Y units; begin chauffeured service.</w:t>
      </w:r>
    </w:p>
    <w:p>
      <w:pPr>
        <w:pStyle w:val="ListBullet"/>
      </w:pPr>
      <w:r>
        <w:t>Commission the first Tritium cabinets at Norcross after pad work and interconnect; start the Tesla charging site-host process.</w:t>
      </w:r>
    </w:p>
    <w:p>
      <w:pPr>
        <w:pStyle w:val="ListBullet"/>
      </w:pPr>
      <w:r>
        <w:t>Record diligence documents (bill of sale, UCC search, appraisal, Exicom letter) to the public proof-of-asset record.</w:t>
      </w:r>
    </w:p>
    <w:p>
      <w:pPr>
        <w:pStyle w:val="ListBullet"/>
      </w:pPr>
      <w:r>
        <w:t>Add autonomous units when Tesla opens commercial fleet sales and insurers and regulators approve driverless service.</w:t>
      </w:r>
    </w:p>
    <w:p>
      <w:pPr>
        <w:pStyle w:val="Heading1"/>
      </w:pPr>
      <w:r>
        <w:t>11. Key risks and open items</w:t>
      </w:r>
    </w:p>
    <w:p>
      <w:pPr>
        <w:pStyle w:val="ListBullet"/>
      </w:pPr>
      <w:r>
        <w:t>No operating history; all revenue, day-rate and utilization figures are assumptions until accounts are signed.</w:t>
      </w:r>
    </w:p>
    <w:p>
      <w:pPr>
        <w:pStyle w:val="ListBullet"/>
      </w:pPr>
      <w:r>
        <w:t>Cybercab availability and commercial terms depend on Tesla and have not been confirmed.</w:t>
      </w:r>
    </w:p>
    <w:p>
      <w:pPr>
        <w:pStyle w:val="ListBullet"/>
      </w:pPr>
      <w:r>
        <w:t>Charger collateral value depends on Exicom support, appraisal and interconnect.</w:t>
      </w:r>
    </w:p>
    <w:p>
      <w:pPr>
        <w:pStyle w:val="ListBullet"/>
      </w:pPr>
      <w:r>
        <w:t>Lean and growth scenario figures differ between the website and earlier PDFs and are being reconciled; the monthly pro forma is being re-based to the actual first-delivery date.</w:t>
      </w:r>
    </w:p>
    <w:p>
      <w:pPr>
        <w:pStyle w:val="ListBullet"/>
      </w:pPr>
      <w:r>
        <w:t>Unsourced safety claims (for example collision-reduction multiples) are excluded from this plan until a source is cited.</w:t>
      </w:r>
    </w:p>
    <w:p>
      <w:pPr>
        <w:pStyle w:val="ListBullet"/>
      </w:pPr>
      <w:r>
        <w:t>Token structure, chain and custodian remain subject to securities counsel.</w:t>
      </w:r>
    </w:p>
    <w:p>
      <w:pPr>
        <w:pStyle w:val="Heading1"/>
      </w:pPr>
      <w:r>
        <w:t>Related documents</w:t>
      </w:r>
    </w:p>
    <w:p>
      <w:r>
        <w:t>Executive EV SUV Tier Addendum · Capital, Custody &amp; Market-Structure Addendum · Lender Package · Insurance Projections · Georgia AV Legal Framework · Atlanta AV Market Memo · Charger RWA Memo and Upgrade Paths · RWA White Paper. All at black.unykorn.org, Document Vault.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