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/>
          <w:b/>
          <w:i w:val="0"/>
          <w:color w:val="B3842C"/>
          <w:sz w:val="18"/>
        </w:rPr>
        <w:t>UNYKORN BLACK  ·  CHARGER RWA DESK  ·  CONFIDENTIAL</w:t>
      </w:r>
    </w:p>
    <w:p>
      <w:r>
        <w:rPr>
          <w:rFonts w:ascii="Times New Roman" w:hAnsi="Times New Roman"/>
          <w:b/>
          <w:i w:val="0"/>
          <w:color w:val="07111F"/>
          <w:sz w:val="36"/>
        </w:rPr>
        <w:t>Charger Upgrade Paths — Keep Tritium, Go Tesla, or Hybrid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B1220"/>
          <w:sz w:val="22"/>
        </w:rPr>
        <w:t>How Unykorn Black uses 50 paid DC cabinets in Tennessee, and how (or whether) to replace them with Tesla Superchargers at the Norcross CyberCab depot.</w:t>
      </w:r>
    </w:p>
    <w:p>
      <w:pPr>
        <w:spacing w:before="240" w:after="80"/>
      </w:pPr>
      <w:r>
        <w:rPr>
          <w:rFonts w:ascii="Times New Roman" w:hAnsi="Times New Roman"/>
          <w:b/>
          <w:i w:val="0"/>
          <w:color w:val="07111F"/>
          <w:sz w:val="28"/>
        </w:rPr>
        <w:t>Path A — Commission Tritium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B1220"/>
          <w:sz w:val="22"/>
        </w:rPr>
        <w:t>Keep the 50 paid units. Hardware capex $0. Spend is pad/utility/OCPP. Fastest to kWh. NACS-cable the cabinets for CyberCab. OEM support after Tritium’s restructure must be confirmed.</w:t>
      </w:r>
    </w:p>
    <w:p>
      <w:pPr>
        <w:spacing w:before="240" w:after="80"/>
      </w:pPr>
      <w:r>
        <w:rPr>
          <w:rFonts w:ascii="Times New Roman" w:hAnsi="Times New Roman"/>
          <w:b/>
          <w:i w:val="0"/>
          <w:color w:val="07111F"/>
          <w:sz w:val="28"/>
        </w:rPr>
        <w:t>Path B — Tesla Superchargers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B1220"/>
          <w:sz w:val="22"/>
        </w:rPr>
        <w:t>Tesla does not sell V4 stalls like Tritium sold RTM units. Path B is a Tesla Charging / site-host commercial process for 12 Norcross bays. Do not strand the $1.5M Tritium book — sell or redeploy it. Wall Connector (11.5 kW AC) is the off-the-shelf Tesla SKU; V4 DC is the long-lead item.</w:t>
      </w:r>
    </w:p>
    <w:p>
      <w:pPr>
        <w:spacing w:before="240" w:after="80"/>
      </w:pPr>
      <w:r>
        <w:rPr>
          <w:rFonts w:ascii="Times New Roman" w:hAnsi="Times New Roman"/>
          <w:b/>
          <w:i w:val="0"/>
          <w:color w:val="07111F"/>
          <w:sz w:val="28"/>
        </w:rPr>
        <w:t>Path C — Hybrid (recommended)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B1220"/>
          <w:sz w:val="22"/>
        </w:rPr>
        <w:t>Tesla at the depot. Tritium on the GRID sleeve (Nashville / public / overflow). First Tritium tranche can backfill Norcross while Tesla’s process runs. 40% of the split engine is the upgrade reserve. No new ticker.</w:t>
      </w:r>
    </w:p>
    <w:p>
      <w:pPr>
        <w:spacing w:before="240" w:after="80"/>
      </w:pPr>
      <w:r>
        <w:rPr>
          <w:rFonts w:ascii="Times New Roman" w:hAnsi="Times New Roman"/>
          <w:b/>
          <w:i w:val="0"/>
          <w:color w:val="07111F"/>
          <w:sz w:val="28"/>
        </w:rPr>
        <w:t>This month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B1220"/>
          <w:sz w:val="22"/>
        </w:rPr>
        <w:t>Nameplate photo. Warehouse address. Tritium support letter. Tesla Charging conversation for 12 stalls. Counsel on GRID sleeve. Do not panic-sell the Tritium inventory.</w:t>
      </w:r>
    </w:p>
    <w:p>
      <w:r>
        <w:rPr>
          <w:rFonts w:ascii="Times New Roman" w:hAnsi="Times New Roman"/>
          <w:b w:val="0"/>
          <w:i/>
          <w:color w:val="334155"/>
          <w:sz w:val="16"/>
        </w:rPr>
        <w:t>Confidential. Accredited / institutional use. 3 September 2026. Not an offer of securities.</w:t>
      </w:r>
    </w:p>
    <w:sectPr w:rsidR="00FC693F" w:rsidRPr="0006063C" w:rsidSect="00034616">
      <w:pgSz w:w="12240" w:h="15840"/>
      <w:pgMar w:top="1296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