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color w:val="B3842C"/>
          <w:sz w:val="18"/>
        </w:rPr>
        <w:t>UNYKORN BLACK  ·  CHARGER RWA DESK  ·  CONFIDENTIAL</w:t>
      </w:r>
    </w:p>
    <w:p>
      <w:r>
        <w:rPr>
          <w:rFonts w:ascii="Times New Roman" w:hAnsi="Times New Roman"/>
          <w:b/>
          <w:i w:val="0"/>
          <w:color w:val="07111F"/>
          <w:sz w:val="36"/>
        </w:rPr>
        <w:t>$UBK Infrastructure Sleeve — Tennessee DC Fast Charger Inventory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Tokenizing 50 unencumbered, fully paid DC fast chargers as a yield-bearing Real-World Asset inside the Unykorn Black $UBK stack. BitGo child vault w_child_fth_nashville_ev. Stated NAV $1,500,000.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1. Token architecture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4824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Specification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Token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$UBK (Unykorn Black RWA). GRID sleeve tagged UBK-GRID — not a separate ticker.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Standard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ERC-3643 permissioned + ERC-20 utility. Whitelist / ONCHAINID transfer restrictions.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Proxy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UUPS upgradeable proxy; immutable token state; linked to the split ledger.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Chain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Base EVM (8453); BitGo Go Network book-entry settlement.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Share price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$1.00 NAV at issuance against appraised / book collateral.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Target APY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14.2% to holders from the 25% Treasury Yield slice (cash, not emission).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Custodian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BitGo Enterprise. Child vault w_child_fth_nashville_ev. MPC 2-of-3.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SPV / LTV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FTH Nashville EV SPV. 70% max LTV. Video-ID above $250,000.</w:t>
            </w:r>
          </w:p>
        </w:tc>
      </w:tr>
    </w:tbl>
    <w:p/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2. Collateral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GRID sleeve: 50 DC cabinets, Tritium-class (likely RTM75 / 75 kW; operator recalled ~85 kW), $30,000/unit, warehoused in Tennessee, unencumbered and paid. Rolling stock sleeve: CyberCab, Model Y, executive vans at 5655 Peachtree Pkwy. DEPOT sleeve (planned): 12 Tesla Supercharger bays at Norcross.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3. Split engine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Slice</w:t>
            </w:r>
          </w:p>
        </w:tc>
        <w:tc>
          <w:tcPr>
            <w:tcW w:type="dxa" w:w="3216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%</w:t>
            </w:r>
          </w:p>
        </w:tc>
        <w:tc>
          <w:tcPr>
            <w:tcW w:type="dxa" w:w="3216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Use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OPEX</w:t>
            </w:r>
          </w:p>
        </w:tc>
        <w:tc>
          <w:tcPr>
            <w:tcW w:type="dxa" w:w="3216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35%</w:t>
            </w:r>
          </w:p>
        </w:tc>
        <w:tc>
          <w:tcPr>
            <w:tcW w:type="dxa" w:w="3216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Maintenance, energy, cleaning, depot, charger O&amp;M, demand charges.</w:t>
            </w:r>
          </w:p>
        </w:tc>
      </w:tr>
      <w:tr>
        <w:tc>
          <w:tcPr>
            <w:tcW w:type="dxa" w:w="3216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Debt &amp; expansion</w:t>
            </w:r>
          </w:p>
        </w:tc>
        <w:tc>
          <w:tcPr>
            <w:tcW w:type="dxa" w:w="3216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40%</w:t>
            </w:r>
          </w:p>
        </w:tc>
        <w:tc>
          <w:tcPr>
            <w:tcW w:type="dxa" w:w="3216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Lender amortization, Tesla upgrade reserve, fleet scaling.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Treasury yield</w:t>
            </w:r>
          </w:p>
        </w:tc>
        <w:tc>
          <w:tcPr>
            <w:tcW w:type="dxa" w:w="3216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25%</w:t>
            </w:r>
          </w:p>
        </w:tc>
        <w:tc>
          <w:tcPr>
            <w:tcW w:type="dxa" w:w="3216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USDC to $UBK holders. Target 14.2% APY.</w:t>
            </w:r>
          </w:p>
        </w:tc>
      </w:tr>
    </w:tbl>
    <w:p/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4. Ready vs gated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Ready: owned hardware, $1.5M NAV, SPV, BitGo vault, 70% policy, $UBK architecture, playbook. Gated: serials, warehouse address, BOL/warranty, confirmed kW, interconnect, OCPP, appraisal, Tesla quote if Path B/C.</w:t>
      </w:r>
    </w:p>
    <w:p>
      <w:r>
        <w:rPr>
          <w:rFonts w:ascii="Times New Roman" w:hAnsi="Times New Roman"/>
          <w:b w:val="0"/>
          <w:i/>
          <w:color w:val="334155"/>
          <w:sz w:val="16"/>
        </w:rPr>
        <w:t>Confidential. Accredited / institutional use. 3 September 2026. Not an offer of securities.</w:t>
      </w:r>
    </w:p>
    <w:sectPr w:rsidR="00FC693F" w:rsidRPr="0006063C" w:rsidSect="00034616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