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color w:val="B3842C"/>
          <w:sz w:val="18"/>
        </w:rPr>
        <w:t>UNYKORN BLACK  ·  CHARGER RWA DESK  ·  CONFIDENTIAL</w:t>
      </w:r>
    </w:p>
    <w:p>
      <w:r>
        <w:rPr>
          <w:rFonts w:ascii="Times New Roman" w:hAnsi="Times New Roman"/>
          <w:b/>
          <w:i w:val="0"/>
          <w:color w:val="07111F"/>
          <w:sz w:val="36"/>
        </w:rPr>
        <w:t>Tennessee Charger Inventory — Readiness &amp; Diligence Card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Item</w:t>
            </w:r>
          </w:p>
        </w:tc>
        <w:tc>
          <w:tcPr>
            <w:tcW w:type="dxa" w:w="4824"/>
            <w:shd w:fill="07111F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FFFFFF"/>
                <w:sz w:val="18"/>
              </w:rPr>
              <w:t>Value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Count / NAV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50 cabinets · $1,500,000 ($30,000/unit)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Status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Unencumbered, fully paid, Tennessee warehouse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Likely SKU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Tritium RTM75 75 kW DC (operator recalled ~85 kW)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SPV / vault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FTH Nashville EV SPV · w_child_fth_nashville_ev</w:t>
            </w:r>
          </w:p>
        </w:tc>
      </w:tr>
      <w:tr>
        <w:tc>
          <w:tcPr>
            <w:tcW w:type="dxa" w:w="4824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Policy</w:t>
            </w:r>
          </w:p>
        </w:tc>
        <w:tc>
          <w:tcPr>
            <w:tcW w:type="dxa" w:w="4824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70% LTV · 2-of-3 MPC · utilization gate</w:t>
            </w:r>
          </w:p>
        </w:tc>
      </w:tr>
      <w:tr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/>
                <w:i w:val="0"/>
                <w:color w:val="0B1220"/>
                <w:sz w:val="18"/>
              </w:rPr>
              <w:t>Capacity</w:t>
            </w:r>
          </w:p>
        </w:tc>
        <w:tc>
          <w:tcPr>
            <w:tcW w:type="dxa" w:w="4824"/>
            <w:shd w:fill="F8FAFC" w:val="clear"/>
          </w:tcPr>
          <w:p>
            <w:r/>
            <w:r>
              <w:rPr>
                <w:rFonts w:ascii="Times New Roman" w:hAnsi="Times New Roman"/>
                <w:b w:val="0"/>
                <w:i w:val="0"/>
                <w:color w:val="0B1220"/>
                <w:sz w:val="18"/>
              </w:rPr>
              <w:t>Up to $1,050,000 at policy LTV — not a committed line</w:t>
            </w:r>
          </w:p>
        </w:tc>
      </w:tr>
    </w:tbl>
    <w:p/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Ready now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SPV and BitGo vault ID. Hardware paid. $UBK ERC-3643/UUPS and 35/40/25 split specified. EV Onboarding Playbook. Norcross 12-bay plan. Companion RWA and upgrade memos.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Not ready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Serials, bailee address, invoice/BOL/warranty, independent appraisal, utility/pad, OCPP + insurance rider, Tesla commercial quote.</w:t>
      </w:r>
    </w:p>
    <w:p>
      <w:pPr>
        <w:spacing w:before="240" w:after="80"/>
      </w:pPr>
      <w:r>
        <w:rPr>
          <w:rFonts w:ascii="Times New Roman" w:hAnsi="Times New Roman"/>
          <w:b/>
          <w:i w:val="0"/>
          <w:color w:val="07111F"/>
          <w:sz w:val="28"/>
        </w:rPr>
        <w:t>What can be tokenized this week</w:t>
      </w:r>
    </w:p>
    <w:p>
      <w:pPr>
        <w:spacing w:after="120" w:line="276" w:lineRule="auto"/>
      </w:pPr>
      <w:r>
        <w:rPr>
          <w:rFonts w:ascii="Times New Roman" w:hAnsi="Times New Roman"/>
          <w:b w:val="0"/>
          <w:i w:val="0"/>
          <w:color w:val="0B1220"/>
          <w:sz w:val="22"/>
        </w:rPr>
        <w:t>Inventory-NAV GRID sleeve only — titled warehouse collateral, no kWh yield claimed. After interconnect, flip to utilization-NAV and stream sessions into the split engine.</w:t>
      </w:r>
    </w:p>
    <w:p>
      <w:r>
        <w:rPr>
          <w:rFonts w:ascii="Times New Roman" w:hAnsi="Times New Roman"/>
          <w:b w:val="0"/>
          <w:i/>
          <w:color w:val="334155"/>
          <w:sz w:val="16"/>
        </w:rPr>
        <w:t>Confidential. Accredited / institutional use. 3 September 2026. Not an offer of securities.</w:t>
      </w:r>
    </w:p>
    <w:sectPr w:rsidR="00FC693F" w:rsidRPr="0006063C" w:rsidSect="00034616">
      <w:pgSz w:w="12240" w:h="15840"/>
      <w:pgMar w:top="1296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