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Capital, Custody &amp; Market-Structure Addendum</w:t>
      </w:r>
    </w:p>
    <w:p>
      <w:r>
        <w:rPr>
          <w:color w:val="A56B16"/>
          <w:sz w:val="18"/>
        </w:rPr>
        <w:t>UnyKorn Black · 29 September 2026</w:t>
      </w:r>
    </w:p>
    <w:p>
      <w:r>
        <w:rPr>
          <w:i/>
          <w:color w:val="5A3D0A"/>
        </w:rPr>
        <w:t>No custodian, transfer agent, market maker or lender named here has been engaged or has agreed to anything. Firms are listed as research for evaluation only. $UBK is being structured with securities counsel; nothing here is an offer of securities.</w:t>
      </w:r>
    </w:p>
    <w:p>
      <w:pPr>
        <w:pStyle w:val="Heading1"/>
      </w:pPr>
      <w:r>
        <w:t>1. Who realistically funds the first round</w:t>
      </w:r>
    </w:p>
    <w:p>
      <w:r>
        <w:t>The ~$650,000 launch facility and the first $250k–$2M of vehicle lines will come from conventional vehicle, equipment and SBA-backed lenders. On-chain credit platforms and quant funds do not lend to an operator at this stage.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6"/>
              </w:rPr>
              <w:t>Lender</w:t>
            </w:r>
          </w:p>
        </w:tc>
        <w:tc>
          <w:tcPr>
            <w:tcW w:type="dxa" w:w="2160"/>
          </w:tcPr>
          <w:p>
            <w:r>
              <w:rPr>
                <w:b/>
                <w:sz w:val="16"/>
              </w:rPr>
              <w:t>What they do</w:t>
            </w:r>
          </w:p>
        </w:tc>
        <w:tc>
          <w:tcPr>
            <w:tcW w:type="dxa" w:w="2160"/>
          </w:tcPr>
          <w:p>
            <w:r>
              <w:rPr>
                <w:b/>
                <w:sz w:val="16"/>
              </w:rPr>
              <w:t>Ticket size</w:t>
            </w:r>
          </w:p>
        </w:tc>
        <w:tc>
          <w:tcPr>
            <w:tcW w:type="dxa" w:w="2160"/>
          </w:tcPr>
          <w:p>
            <w:r>
              <w:rPr>
                <w:b/>
                <w:sz w:val="16"/>
              </w:rPr>
              <w:t>Website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6"/>
              </w:rPr>
              <w:t>Madison Capital</w:t>
            </w:r>
          </w:p>
        </w:tc>
        <w:tc>
          <w:tcPr>
            <w:tcW w:type="dxa" w:w="2160"/>
          </w:tcPr>
          <w:p>
            <w:r>
              <w:rPr>
                <w:b w:val="0"/>
                <w:sz w:val="16"/>
              </w:rPr>
              <w:t>Commercial vehicle leasing with a dedicated limousine financing program</w:t>
            </w:r>
          </w:p>
        </w:tc>
        <w:tc>
          <w:tcPr>
            <w:tcW w:type="dxa" w:w="2160"/>
          </w:tcPr>
          <w:p>
            <w:r>
              <w:rPr>
                <w:b w:val="0"/>
                <w:sz w:val="16"/>
              </w:rPr>
              <w:t>Per vehicle</w:t>
            </w:r>
          </w:p>
        </w:tc>
        <w:tc>
          <w:tcPr>
            <w:tcW w:type="dxa" w:w="2160"/>
          </w:tcPr>
          <w:p>
            <w:r>
              <w:rPr>
                <w:b w:val="0"/>
                <w:sz w:val="16"/>
              </w:rPr>
              <w:t>https://madisoncapital.com/commercial-vehicle-leasing/limousine-financing/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6"/>
              </w:rPr>
              <w:t>1st Source Bank - Fleet Financing</w:t>
            </w:r>
          </w:p>
        </w:tc>
        <w:tc>
          <w:tcPr>
            <w:tcW w:type="dxa" w:w="2160"/>
          </w:tcPr>
          <w:p>
            <w:r>
              <w:rPr>
                <w:b w:val="0"/>
                <w:sz w:val="16"/>
              </w:rPr>
              <w:t>Fleet financing incl. luxury/chauffeur fleets</w:t>
            </w:r>
          </w:p>
        </w:tc>
        <w:tc>
          <w:tcPr>
            <w:tcW w:type="dxa" w:w="2160"/>
          </w:tcPr>
          <w:p>
            <w:r>
              <w:rPr>
                <w:b w:val="0"/>
                <w:sz w:val="16"/>
              </w:rPr>
              <w:t>Not published</w:t>
            </w:r>
          </w:p>
        </w:tc>
        <w:tc>
          <w:tcPr>
            <w:tcW w:type="dxa" w:w="2160"/>
          </w:tcPr>
          <w:p>
            <w:r>
              <w:rPr>
                <w:b w:val="0"/>
                <w:sz w:val="16"/>
              </w:rPr>
              <w:t>https://www.1stsource.com/help/comprehensive-fleet-financing-for-various-entity-types/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6"/>
              </w:rPr>
              <w:t>Merchants Fleet</w:t>
            </w:r>
          </w:p>
        </w:tc>
        <w:tc>
          <w:tcPr>
            <w:tcW w:type="dxa" w:w="2160"/>
          </w:tcPr>
          <w:p>
            <w:r>
              <w:rPr>
                <w:b w:val="0"/>
                <w:sz w:val="16"/>
              </w:rPr>
              <w:t>EV fleet leasing and charger financing (ClearCharge)</w:t>
            </w:r>
          </w:p>
        </w:tc>
        <w:tc>
          <w:tcPr>
            <w:tcW w:type="dxa" w:w="2160"/>
          </w:tcPr>
          <w:p>
            <w:r>
              <w:rPr>
                <w:b w:val="0"/>
                <w:sz w:val="16"/>
              </w:rPr>
              <w:t>Not published</w:t>
            </w:r>
          </w:p>
        </w:tc>
        <w:tc>
          <w:tcPr>
            <w:tcW w:type="dxa" w:w="2160"/>
          </w:tcPr>
          <w:p>
            <w:r>
              <w:rPr>
                <w:b w:val="0"/>
                <w:sz w:val="16"/>
              </w:rPr>
              <w:t>https://www.merchantsfleet.com/fleet-electrification/electric-vehicle-fleet-leasing/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6"/>
              </w:rPr>
              <w:t>Climate First Bank</w:t>
            </w:r>
          </w:p>
        </w:tc>
        <w:tc>
          <w:tcPr>
            <w:tcW w:type="dxa" w:w="2160"/>
          </w:tcPr>
          <w:p>
            <w:r>
              <w:rPr>
                <w:b w:val="0"/>
                <w:sz w:val="16"/>
              </w:rPr>
              <w:t>EV charging loans and SBA 7(a)/504</w:t>
            </w:r>
          </w:p>
        </w:tc>
        <w:tc>
          <w:tcPr>
            <w:tcW w:type="dxa" w:w="2160"/>
          </w:tcPr>
          <w:p>
            <w:r>
              <w:rPr>
                <w:b w:val="0"/>
                <w:sz w:val="16"/>
              </w:rPr>
              <w:t>Not published</w:t>
            </w:r>
          </w:p>
        </w:tc>
        <w:tc>
          <w:tcPr>
            <w:tcW w:type="dxa" w:w="2160"/>
          </w:tcPr>
          <w:p>
            <w:r>
              <w:rPr>
                <w:b w:val="0"/>
                <w:sz w:val="16"/>
              </w:rPr>
              <w:t>https://www.climatefirstbank.com/business/commercial-and-sustainable-lending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6"/>
              </w:rPr>
              <w:t>North Mill Equipment Finance</w:t>
            </w:r>
          </w:p>
        </w:tc>
        <w:tc>
          <w:tcPr>
            <w:tcW w:type="dxa" w:w="2160"/>
          </w:tcPr>
          <w:p>
            <w:r>
              <w:rPr>
                <w:b w:val="0"/>
                <w:sz w:val="16"/>
              </w:rPr>
              <w:t>Small-ticket equipment/transport finance, broker-only</w:t>
            </w:r>
          </w:p>
        </w:tc>
        <w:tc>
          <w:tcPr>
            <w:tcW w:type="dxa" w:w="2160"/>
          </w:tcPr>
          <w:p>
            <w:r>
              <w:rPr>
                <w:b w:val="0"/>
                <w:sz w:val="16"/>
              </w:rPr>
              <w:t>$15k-$1M</w:t>
            </w:r>
          </w:p>
        </w:tc>
        <w:tc>
          <w:tcPr>
            <w:tcW w:type="dxa" w:w="2160"/>
          </w:tcPr>
          <w:p>
            <w:r>
              <w:rPr>
                <w:b w:val="0"/>
                <w:sz w:val="16"/>
              </w:rPr>
              <w:t>https://www.linkedin.com/company/north-mill-equipment-finance-llc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6"/>
              </w:rPr>
              <w:t>Beacon Funding</w:t>
            </w:r>
          </w:p>
        </w:tc>
        <w:tc>
          <w:tcPr>
            <w:tcW w:type="dxa" w:w="2160"/>
          </w:tcPr>
          <w:p>
            <w:r>
              <w:rPr>
                <w:b w:val="0"/>
                <w:sz w:val="16"/>
              </w:rPr>
              <w:t>Small-ticket equipment finance, 24-84 mo terms</w:t>
            </w:r>
          </w:p>
        </w:tc>
        <w:tc>
          <w:tcPr>
            <w:tcW w:type="dxa" w:w="2160"/>
          </w:tcPr>
          <w:p>
            <w:r>
              <w:rPr>
                <w:b w:val="0"/>
                <w:sz w:val="16"/>
              </w:rPr>
              <w:t>$10k-$500k+</w:t>
            </w:r>
          </w:p>
        </w:tc>
        <w:tc>
          <w:tcPr>
            <w:tcW w:type="dxa" w:w="2160"/>
          </w:tcPr>
          <w:p>
            <w:r>
              <w:rPr>
                <w:b w:val="0"/>
                <w:sz w:val="16"/>
              </w:rPr>
              <w:t>https://www.beaconfunding.com/equipment-financing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6"/>
              </w:rPr>
              <w:t>Towne Livery (arranger)</w:t>
            </w:r>
          </w:p>
        </w:tc>
        <w:tc>
          <w:tcPr>
            <w:tcW w:type="dxa" w:w="2160"/>
          </w:tcPr>
          <w:p>
            <w:r>
              <w:rPr>
                <w:b w:val="0"/>
                <w:sz w:val="16"/>
              </w:rPr>
              <w:t>Broker placing chauffeured/livery fleet deals with specialist lenders</w:t>
            </w:r>
          </w:p>
        </w:tc>
        <w:tc>
          <w:tcPr>
            <w:tcW w:type="dxa" w:w="2160"/>
          </w:tcPr>
          <w:p>
            <w:r>
              <w:rPr>
                <w:b w:val="0"/>
                <w:sz w:val="16"/>
              </w:rPr>
              <w:t>Per vehicle</w:t>
            </w:r>
          </w:p>
        </w:tc>
        <w:tc>
          <w:tcPr>
            <w:tcW w:type="dxa" w:w="2160"/>
          </w:tcPr>
          <w:p>
            <w:r>
              <w:rPr>
                <w:b w:val="0"/>
                <w:sz w:val="16"/>
              </w:rPr>
              <w:t>https://townelivery.com/transportation-fleet-financing/</w:t>
            </w:r>
          </w:p>
        </w:tc>
      </w:tr>
    </w:tbl>
    <w:p/>
    <w:p>
      <w:pPr>
        <w:pStyle w:val="Heading1"/>
      </w:pPr>
      <w:r>
        <w:t>2. Custody and tokenization: Fireblocks (under evaluation)</w:t>
      </w:r>
    </w:p>
    <w:p>
      <w:r>
        <w:t>Fireblocks fits the $UBK design on paper: its Tokenization Engine supports Tokeny's T-REX (ERC-3643) contracts, Base is a supported network, wallets are MPC (matching the 2-of-3 design in the charger memo), and its subsidiary Fireblocks Trust Company is a NYDFS-chartered limited-purpose trust company that acts as a qualified custodian under New York law. Published pricing starts at $999/month (Essentials, up to six months) and custom plans from $36,000/year; tokenization is a paid add-on. Open questions: whether Fireblocks Trust Company will custody an ERC-3643 token on Base, and the add-on price.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  <w:sz w:val="16"/>
              </w:rPr>
              <w:t>Provider</w:t>
            </w:r>
          </w:p>
        </w:tc>
        <w:tc>
          <w:tcPr>
            <w:tcW w:type="dxa" w:w="2880"/>
          </w:tcPr>
          <w:p>
            <w:r>
              <w:rPr>
                <w:b/>
                <w:sz w:val="16"/>
              </w:rPr>
              <w:t>Key difference</w:t>
            </w:r>
          </w:p>
        </w:tc>
        <w:tc>
          <w:tcPr>
            <w:tcW w:type="dxa" w:w="2880"/>
          </w:tcPr>
          <w:p>
            <w:r>
              <w:rPr>
                <w:b/>
                <w:sz w:val="16"/>
              </w:rPr>
              <w:t>Website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6"/>
              </w:rPr>
              <w:t>Fireblocks</w:t>
            </w:r>
          </w:p>
        </w:tc>
        <w:tc>
          <w:tcPr>
            <w:tcW w:type="dxa" w:w="2880"/>
          </w:tcPr>
          <w:p>
            <w:r>
              <w:rPr>
                <w:b w:val="0"/>
                <w:sz w:val="16"/>
              </w:rPr>
              <w:t>Tokenization Engine supports Tokeny T-REX (ERC-3643); Base supported; MPC wallets; Fireblocks Trust Company is a NYDFS-chartered qualified custodian. Essentials $999/mo, custom from $36k/yr; tokenization is a paid add-on.</w:t>
            </w:r>
          </w:p>
        </w:tc>
        <w:tc>
          <w:tcPr>
            <w:tcW w:type="dxa" w:w="2880"/>
          </w:tcPr>
          <w:p>
            <w:r>
              <w:rPr>
                <w:b w:val="0"/>
                <w:sz w:val="16"/>
              </w:rPr>
              <w:t>https://www.fireblocks.com/pricing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6"/>
              </w:rPr>
              <w:t>BitGo</w:t>
            </w:r>
          </w:p>
        </w:tc>
        <w:tc>
          <w:tcPr>
            <w:tcW w:type="dxa" w:w="2880"/>
          </w:tcPr>
          <w:p>
            <w:r>
              <w:rPr>
                <w:b w:val="0"/>
                <w:sz w:val="16"/>
              </w:rPr>
              <w:t>OCC conditional national trust bank conversion; custodian for DTCC tokenized assets; less DIY issuance tooling</w:t>
            </w:r>
          </w:p>
        </w:tc>
        <w:tc>
          <w:tcPr>
            <w:tcW w:type="dxa" w:w="2880"/>
          </w:tcPr>
          <w:p>
            <w:r>
              <w:rPr>
                <w:b w:val="0"/>
                <w:sz w:val="16"/>
              </w:rPr>
              <w:t>https://www.bitgo.com/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6"/>
              </w:rPr>
              <w:t>Anchorage Digital</w:t>
            </w:r>
          </w:p>
        </w:tc>
        <w:tc>
          <w:tcPr>
            <w:tcW w:type="dxa" w:w="2880"/>
          </w:tcPr>
          <w:p>
            <w:r>
              <w:rPr>
                <w:b w:val="0"/>
                <w:sz w:val="16"/>
              </w:rPr>
              <w:t>OCC-chartered national trust bank; qualified custodian; partners with issuance platforms</w:t>
            </w:r>
          </w:p>
        </w:tc>
        <w:tc>
          <w:tcPr>
            <w:tcW w:type="dxa" w:w="2880"/>
          </w:tcPr>
          <w:p>
            <w:r>
              <w:rPr>
                <w:b w:val="0"/>
                <w:sz w:val="16"/>
              </w:rPr>
              <w:t>https://www.anchorage.com/platform/custody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6"/>
              </w:rPr>
              <w:t>Coinbase Custody / Prime</w:t>
            </w:r>
          </w:p>
        </w:tc>
        <w:tc>
          <w:tcPr>
            <w:tcW w:type="dxa" w:w="2880"/>
          </w:tcPr>
          <w:p>
            <w:r>
              <w:rPr>
                <w:b w:val="0"/>
                <w:sz w:val="16"/>
              </w:rPr>
              <w:t>NYDFS trust; conditional OCC approval Apr 2026; natural Base fit; no ERC-3643 tooling found</w:t>
            </w:r>
          </w:p>
        </w:tc>
        <w:tc>
          <w:tcPr>
            <w:tcW w:type="dxa" w:w="2880"/>
          </w:tcPr>
          <w:p>
            <w:r>
              <w:rPr>
                <w:b w:val="0"/>
                <w:sz w:val="16"/>
              </w:rPr>
              <w:t>https://www.coinbase.com/</w:t>
            </w:r>
          </w:p>
        </w:tc>
      </w:tr>
    </w:tbl>
    <w:p/>
    <w:p>
      <w:pPr>
        <w:pStyle w:val="Heading1"/>
      </w:pPr>
      <w:r>
        <w:t>3. Market makers and quant funds (Wintermute, Keyrock, GSR)</w:t>
      </w:r>
    </w:p>
    <w:p>
      <w:r>
        <w:t>Recommendation: not now. Wintermute trades freely transferable tokens and, for real-world assets, trades large established products OTC (BlackRock BUIDL, tokenized gold). Its new US broker-dealer (registered August 2026) trades for its own account. A market maker cannot quote $UBK while it is not live, has no approved trading venue, and can only move between whitelisted wallets, and bringing one in early could create securities-law exposure. The realistic path to secondary liquidity is an ATS or transfer-agent route (for example Securitize, or Apex Group's T-REX network) after issuance. Keyrock is the most tokenization-focused market maker to build a relationship with after launch.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  <w:sz w:val="16"/>
              </w:rPr>
              <w:t>Later-stage partner</w:t>
            </w:r>
          </w:p>
        </w:tc>
        <w:tc>
          <w:tcPr>
            <w:tcW w:type="dxa" w:w="2880"/>
          </w:tcPr>
          <w:p>
            <w:r>
              <w:rPr>
                <w:b/>
                <w:sz w:val="16"/>
              </w:rPr>
              <w:t>Role</w:t>
            </w:r>
          </w:p>
        </w:tc>
        <w:tc>
          <w:tcPr>
            <w:tcW w:type="dxa" w:w="2880"/>
          </w:tcPr>
          <w:p>
            <w:r>
              <w:rPr>
                <w:b/>
                <w:sz w:val="16"/>
              </w:rPr>
              <w:t>Website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6"/>
              </w:rPr>
              <w:t>Mitra EV</w:t>
            </w:r>
          </w:p>
        </w:tc>
        <w:tc>
          <w:tcPr>
            <w:tcW w:type="dxa" w:w="2880"/>
          </w:tcPr>
          <w:p>
            <w:r>
              <w:rPr>
                <w:b w:val="0"/>
                <w:sz w:val="16"/>
              </w:rPr>
              <w:t>EV leasing plus depot charging; possible competitor on charging</w:t>
            </w:r>
          </w:p>
        </w:tc>
        <w:tc>
          <w:tcPr>
            <w:tcW w:type="dxa" w:w="2880"/>
          </w:tcPr>
          <w:p>
            <w:r>
              <w:rPr>
                <w:b w:val="0"/>
                <w:sz w:val="16"/>
              </w:rPr>
              <w:t>https://www.businesswire.com/news/home/20260203472028/en/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6"/>
              </w:rPr>
              <w:t>Centrifuge</w:t>
            </w:r>
          </w:p>
        </w:tc>
        <w:tc>
          <w:tcPr>
            <w:tcW w:type="dxa" w:w="2880"/>
          </w:tcPr>
          <w:p>
            <w:r>
              <w:rPr>
                <w:b w:val="0"/>
                <w:sz w:val="16"/>
              </w:rPr>
              <w:t>Tokenized credit pools; historically wants 2+ years operating history</w:t>
            </w:r>
          </w:p>
        </w:tc>
        <w:tc>
          <w:tcPr>
            <w:tcW w:type="dxa" w:w="2880"/>
          </w:tcPr>
          <w:p>
            <w:r>
              <w:rPr>
                <w:b w:val="0"/>
                <w:sz w:val="16"/>
              </w:rPr>
              <w:t>https://gov.centrifuge.io/c/real-world-assets/pool-onboarding-proposals/51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6"/>
              </w:rPr>
              <w:t>Securitize</w:t>
            </w:r>
          </w:p>
        </w:tc>
        <w:tc>
          <w:tcPr>
            <w:tcW w:type="dxa" w:w="2880"/>
          </w:tcPr>
          <w:p>
            <w:r>
              <w:rPr>
                <w:b w:val="0"/>
                <w:sz w:val="16"/>
              </w:rPr>
              <w:t>Possible issuance / transfer-agent / ATS partner for $UBK, not a lender</w:t>
            </w:r>
          </w:p>
        </w:tc>
        <w:tc>
          <w:tcPr>
            <w:tcW w:type="dxa" w:w="2880"/>
          </w:tcPr>
          <w:p>
            <w:r>
              <w:rPr>
                <w:b w:val="0"/>
                <w:sz w:val="16"/>
              </w:rPr>
              <w:t>https://securitize.io/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6"/>
              </w:rPr>
              <w:t>Keyrock</w:t>
            </w:r>
          </w:p>
        </w:tc>
        <w:tc>
          <w:tcPr>
            <w:tcW w:type="dxa" w:w="2880"/>
          </w:tcPr>
          <w:p>
            <w:r>
              <w:rPr>
                <w:b w:val="0"/>
                <w:sz w:val="16"/>
              </w:rPr>
              <w:t>Market maker most engaged in tokenization; post-launch liquidity only</w:t>
            </w:r>
          </w:p>
        </w:tc>
        <w:tc>
          <w:tcPr>
            <w:tcW w:type="dxa" w:w="2880"/>
          </w:tcPr>
          <w:p>
            <w:r>
              <w:rPr>
                <w:b w:val="0"/>
                <w:sz w:val="16"/>
              </w:rPr>
              <w:t>https://keyrock.com/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6"/>
              </w:rPr>
              <w:t>Wintermute</w:t>
            </w:r>
          </w:p>
        </w:tc>
        <w:tc>
          <w:tcPr>
            <w:tcW w:type="dxa" w:w="2880"/>
          </w:tcPr>
          <w:p>
            <w:r>
              <w:rPr>
                <w:b w:val="0"/>
                <w:sz w:val="16"/>
              </w:rPr>
              <w:t>Market maker; OTC in large tokenized RWAs (BUIDL, gold); not for pre-launch whitelisted tokens</w:t>
            </w:r>
          </w:p>
        </w:tc>
        <w:tc>
          <w:tcPr>
            <w:tcW w:type="dxa" w:w="2880"/>
          </w:tcPr>
          <w:p>
            <w:r>
              <w:rPr>
                <w:b w:val="0"/>
                <w:sz w:val="16"/>
              </w:rPr>
              <w:t>https://www.wintermute.com/otc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6"/>
              </w:rPr>
              <w:t>Nuveen Green Capital (C-PACE)</w:t>
            </w:r>
          </w:p>
        </w:tc>
        <w:tc>
          <w:tcPr>
            <w:tcW w:type="dxa" w:w="2880"/>
          </w:tcPr>
          <w:p>
            <w:r>
              <w:rPr>
                <w:b w:val="0"/>
                <w:sz w:val="16"/>
              </w:rPr>
              <w:t>Only if chargers sit on owned commercial property</w:t>
            </w:r>
          </w:p>
        </w:tc>
        <w:tc>
          <w:tcPr>
            <w:tcW w:type="dxa" w:w="2880"/>
          </w:tcPr>
          <w:p>
            <w:r>
              <w:rPr>
                <w:b w:val="0"/>
                <w:sz w:val="16"/>
              </w:rPr>
              <w:t>https://www.nuveen.com/greencapital/</w:t>
            </w:r>
          </w:p>
        </w:tc>
      </w:tr>
    </w:tbl>
    <w:p/>
    <w:p>
      <w:r>
        <w:t>Not a fit: Maple Finance (Lends to crypto-native borrowers, not vehicle fleets); Figure (Consumer credit marketplaces; precedent only); GSR (Liquid-token market maker).</w:t>
      </w:r>
    </w:p>
    <w:p>
      <w:pPr>
        <w:pStyle w:val="Heading1"/>
      </w:pPr>
      <w:r>
        <w:t>4. Issues underwriters will raise</w:t>
      </w:r>
    </w:p>
    <w:p>
      <w:pPr>
        <w:pStyle w:val="ListBullet"/>
      </w:pPr>
      <w:r>
        <w:t>Tritium was acquired out of insolvency by Exicom (Aug 2024). Obtain an Exicom warranty/support letter for the 50 serials before lenders will credit the ~$1.5M book value.</w:t>
      </w:r>
    </w:p>
    <w:p>
      <w:pPr>
        <w:pStyle w:val="ListBullet"/>
      </w:pPr>
      <w:r>
        <w:t>Section 30C charger credit may have expired June 30, 2026 (single secondary source). Exclude from projections until tax counsel confirms.</w:t>
      </w:r>
    </w:p>
    <w:p>
      <w:pPr>
        <w:pStyle w:val="ListBullet"/>
      </w:pPr>
      <w:r>
        <w:t>Apex Group's T-REX Ledger (Tokeny's ERC-3643 network) targets Polygon, not Base; confirm chain choice with counsel and custodian.</w:t>
      </w:r>
    </w:p>
    <w:p>
      <w:pPr>
        <w:pStyle w:val="Heading1"/>
      </w:pPr>
      <w:r>
        <w:t>5. Recommended next steps</w:t>
      </w:r>
    </w:p>
    <w:p>
      <w:pPr>
        <w:pStyle w:val="ListBullet"/>
      </w:pPr>
      <w:r>
        <w:t>Request an Exicom warranty/support letter covering the 50 Tritium serials.</w:t>
      </w:r>
    </w:p>
    <w:p>
      <w:pPr>
        <w:pStyle w:val="ListBullet"/>
      </w:pPr>
      <w:r>
        <w:t>Open conversations with Madison Capital (limousine program) and 1st Source (fleet) for Phase A SUVs, and with Climate First Bank on SBA-backed charger debt.</w:t>
      </w:r>
    </w:p>
    <w:p>
      <w:pPr>
        <w:pStyle w:val="ListBullet"/>
      </w:pPr>
      <w:r>
        <w:t>Ask securities counsel to confirm the chain (Base vs. Polygon for T-REX) before any custodian contract.</w:t>
      </w:r>
    </w:p>
    <w:p>
      <w:pPr>
        <w:pStyle w:val="ListBullet"/>
      </w:pPr>
      <w:r>
        <w:t>Request a Fireblocks demo with the tokenization add-on priced; compare against BitGo and Anchorage.</w:t>
      </w:r>
    </w:p>
    <w:p>
      <w:pPr>
        <w:pStyle w:val="ListBullet"/>
      </w:pPr>
      <w:r>
        <w:t>Revisit market makers only after $UBK is live on a regulated venue with meaningful float.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